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88R11490 JG-D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Hefner</w:t>
      </w:r>
      <w:r xml:space="preserve">
        <w:tab wTab="150" tlc="none" cTlc="0"/>
      </w:r>
      <w:r>
        <w:t xml:space="preserve">H.B.</w:t>
      </w:r>
      <w:r xml:space="preserve">
        <w:t> </w:t>
      </w:r>
      <w:r>
        <w:t xml:space="preserve">No.</w:t>
      </w:r>
      <w:r xml:space="preserve">
        <w:t> </w:t>
      </w:r>
      <w:r>
        <w:t xml:space="preserve">4888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Medicaid coverage and reimbursement for non-opioid treatments.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32, Human Resources Code, is amended by adding Section 32.03117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32.03117.</w:t>
      </w:r>
      <w:r>
        <w:rPr>
          <w:u w:val="single"/>
        </w:rPr>
        <w:t xml:space="preserve"> </w:t>
      </w:r>
      <w:r>
        <w:rPr>
          <w:u w:val="single"/>
        </w:rPr>
        <w:t xml:space="preserve"> </w:t>
      </w:r>
      <w:r>
        <w:rPr>
          <w:u w:val="single"/>
        </w:rPr>
        <w:t xml:space="preserve">REIMBURSEMENT FOR NON-OPIOID TREATMENTS.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"Non-opioid treatment"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drug or biological product that is indicated to produce analgesia without acting on the body's opioid receptors;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implantable, reusable, or disposable medical device: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approved for use by the United States Food and Drug Administration for the intended use of eliminating or reducing pain;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that has demonstrated the ability to replace, reduce, or avoid opioid use.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"OPD services" has the meaning assigned by 42 U.S.C. Section 1395l(t)(1)(B).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ensure that medical assistance reimbursement is provided to a provider who provides a non-opioid treatment to a recipient under the medical assistance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commissioner by rule shall ensure that, to the extent permitted by federal law, a provider who provides OPD services to a medical assistance recipient is reimbursed separately under the medical assistance program for any non-opioid treatment provided as a part of those services.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4888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