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4888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4888</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Medicaid coverage and reimbursement for non-opioid treatments.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32.03117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32.03117.</w:t>
      </w:r>
      <w:r>
        <w:rPr>
          <w:u w:val="single"/>
        </w:rPr>
        <w:t xml:space="preserve"> </w:t>
      </w:r>
      <w:r>
        <w:rPr>
          <w:u w:val="single"/>
        </w:rPr>
        <w:t xml:space="preserve"> </w:t>
      </w:r>
      <w:r>
        <w:rPr>
          <w:u w:val="single"/>
        </w:rPr>
        <w:t xml:space="preserve">REIMBURSEMENT FOR NON-OPIOID TREATMENTS.  (a)  In this section, "non-opioid treatment" means a drug or biological product that is indicated to produce analgesia without acting on the body's opioid receptors.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provider who provides a non-opioid treatment to a recipient under the medical assistance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ensure that, to the extent permitted by federal law, a hospital provider that provides outpatient department services to a medical assistance recipient is reimbursed separately under the medical assistance program for any non-opioid treatment provided as a part of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