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 court over a child in the managing conservatorship of the state after the child's 18th birthday.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263.608, Family Code, is amended as follows:</w:t>
      </w:r>
    </w:p>
    <w:p w:rsidR="003F3435" w:rsidRDefault="0032493E">
      <w:pPr>
        <w:spacing w:line="480" w:lineRule="auto"/>
        <w:ind w:firstLine="720"/>
        <w:jc w:val="both"/>
      </w:pPr>
      <w:r>
        <w:t xml:space="preserve">Sec.</w:t>
      </w:r>
      <w:r xml:space="preserve">
        <w:t> </w:t>
      </w:r>
      <w:r>
        <w:t xml:space="preserve">263.608.</w:t>
      </w:r>
      <w:r xml:space="preserve">
        <w:t> </w:t>
      </w:r>
      <w:r xml:space="preserve">
        <w:t> </w:t>
      </w:r>
      <w:r>
        <w:t xml:space="preserve">RIGHTS OF YOUNG ADULT.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t xml:space="preserve">A young adult who consents to the continued jurisdiction of the court has the same rights as any other adult of the same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is prohibited from extending trial independence status as described by Section 263.6015(c) or extending jurisdiction over a young adult as described by Section 263.602 if a young adult objects in court or in writing.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w:t>
      </w:r>
      <w:r>
        <w:t xml:space="preserve">-thirds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