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88R5536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4899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disclosure under the public information law of settlement communications maintained by or on behalf of the attorney general as part of a deceptive trade practices investigation or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17.45, Business &amp; Commerce Code, is amended by adding Subdivision (18) to read as follows:</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"Settlement communications" means documentary materials or information collected, assembled, drafted, developed, used, received, or maintained by or on behalf of the attorney general with respect to an investigation or litigation conducted under this subchapter and that reflects or is regarding negotiations made for the purpose of achieving a resolution of a matter without the need for continuing with litigation or trial.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17, Business &amp; Commerce Code, is amended by adding Section 17.475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17.475.</w:t>
      </w:r>
      <w:r>
        <w:rPr>
          <w:u w:val="single"/>
        </w:rPr>
        <w:t xml:space="preserve"> </w:t>
      </w:r>
      <w:r>
        <w:rPr>
          <w:u w:val="single"/>
        </w:rPr>
        <w:t xml:space="preserve"> </w:t>
      </w:r>
      <w:r>
        <w:rPr>
          <w:u w:val="single"/>
        </w:rPr>
        <w:t xml:space="preserve">CONFIDENTIALITY OF SETTLEMENT COMMUNICATIONS.  An attorney general settlement communication is privileged and not subject to disclosure under Chapter 552, Government Code, from the date the attorney general's investigation begins, as indicated in the attorney general's case management records, until the earlier of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case is reported closed in the attorney general's case management records;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final judgment, assurance of voluntary compliance, or other settlement agreement is entered by the court, and the period for filing a notice of appeal has passed;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settlement documents are executed by all parties, if the documents are not filed in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order of dismissal or nonsuit disposing of all parties is entered by the court;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 appeals are finalized.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request for public information received by the attorney general under Chapter 552, Government Code,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