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88R23885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4905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4905:</w:t>
      </w: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C.S.H.B.</w:t>
      </w:r>
      <w:r xml:space="preserve">
        <w:t> </w:t>
      </w:r>
      <w:r>
        <w:t xml:space="preserve">No.</w:t>
      </w:r>
      <w:r xml:space="preserve">
        <w:t> </w:t>
      </w:r>
      <w:r>
        <w:t xml:space="preserve">4905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child neglect and to the appointment of the Department of Family and Protective Services and a child's parent or legal guardian as joint managing conservators of the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261.001(4), Family Code, as amended by Chapters 8 (H.B. 567) and 29 (H.B. 2536), Acts of the 87th Legislature, Regular Session, 2021, is reenacted and amended to read as follows:</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w:t>
      </w:r>
      <w:r>
        <w:rPr>
          <w:u w:val="single"/>
        </w:rPr>
        <w:t xml:space="preserve">, including joint managing conservatorship under Section 262.352,</w:t>
      </w:r>
      <w:r>
        <w:t xml:space="preserve">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w:t>
      </w:r>
      <w:r>
        <w:rPr>
          <w:u w:val="single"/>
        </w:rPr>
        <w:t xml:space="preserve">; or</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262.352, Family Code, is amended to read as follows:</w:t>
      </w:r>
    </w:p>
    <w:p w:rsidR="003F3435" w:rsidRDefault="0032493E">
      <w:pPr>
        <w:spacing w:line="480" w:lineRule="auto"/>
        <w:ind w:firstLine="720"/>
        <w:jc w:val="both"/>
      </w:pPr>
      <w:r>
        <w:t xml:space="preserve">Sec.</w:t>
      </w:r>
      <w:r xml:space="preserve">
        <w:t> </w:t>
      </w:r>
      <w:r>
        <w:t xml:space="preserve">262.352.</w:t>
      </w:r>
      <w:r xml:space="preserve">
        <w:t> </w:t>
      </w:r>
      <w:r xml:space="preserve">
        <w:t> </w:t>
      </w:r>
      <w:r>
        <w:t xml:space="preserve">JOINT MANAGING CONSERVATORSHIP OF CHILD. </w:t>
      </w:r>
      <w:r>
        <w:t xml:space="preserve"> </w:t>
      </w:r>
      <w:r>
        <w:t xml:space="preserve">(a) </w:t>
      </w:r>
      <w:r>
        <w:t xml:space="preserve"> </w:t>
      </w:r>
      <w:r>
        <w:rPr>
          <w:u w:val="single"/>
        </w:rPr>
        <w:t xml:space="preserve">In this section, "hotel" has the meaning assigned by Section 792.001, Health and Safety Code.</w:t>
      </w:r>
    </w:p>
    <w:p w:rsidR="003F3435" w:rsidRDefault="0032493E">
      <w:pPr>
        <w:spacing w:line="480" w:lineRule="auto"/>
        <w:ind w:firstLine="720"/>
        <w:jc w:val="both"/>
      </w:pPr>
      <w:r>
        <w:rPr>
          <w:u w:val="single"/>
        </w:rPr>
        <w:t xml:space="preserve">(b)</w:t>
      </w:r>
      <w:r xml:space="preserve">
        <w:t> </w:t>
      </w:r>
      <w:r xml:space="preserve">
        <w:t> </w:t>
      </w:r>
      <w:r>
        <w:t xml:space="preserve">Before the department files a suit affecting the parent-child relationship requesting managing conservatorship of a child who suffers from a severe emotional disturbance in order to obtain mental health services for the child, the department must, unless it is not in the best interest of the child, discuss with the child's parent or legal guardian the option of seeking a court order for joint managing conservatorship of the child with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enter an order appointing the department and the child's parent or legal guardian as joint managing conservators of the child if the court finds sufficient evidence to satisfy a person of ordinary prudence and caution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 or legal guardian has exhausted all reasonable means available to the parent or legal guardian to obtain mental health services to meet the child's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parent or legal guardian has agreed to actively participate in the child's service plan in preparation for the child's return to the parent or legal guardian;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department is able to provide services necessary to meet the child's mental health needs;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has identified an available licensed placement or a relative or other designated caregiver for the child to meet the child's mental health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joint managing conservatorship of the child is in the child's best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in the joint managing conservatorship of the department and the child's parent or legal guardian may not receive temporary emergency care under Section 264.107(g) in a hotel or other unlicensed setting.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offset the cost of the child's placement and medical care, the court shall order the parent to pay child support and medical support to the department in an amount equal to the cost of care, unless the court finds that the parent is indigent.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is unable to identify an available licensed placement to meet the mental health needs of a child in the joint managing conservatorship of the department,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to be placed with the child's parent or legal guardian until the department identifies an available licensed placement for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remove the department as a joint managing conservator of the child and dismiss the suit affecting the parent-child relationship.</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