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Bernal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4909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reporting method in determining that a dog is dangerous.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Sec. 822.0421, Health and Safety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If a person reports an incident described by Section 822.041(2), the animal control authority may investigate the incident. </w:t>
      </w:r>
      <w:r>
        <w:t xml:space="preserve"> </w:t>
      </w:r>
      <w:r>
        <w:t xml:space="preserve">If, after receiving the sworn statements of any witnesses,</w:t>
      </w:r>
      <w:r>
        <w:rPr>
          <w:u w:val="single"/>
        </w:rPr>
        <w:t xml:space="preserve"> or observing and documenting aggressive behavior by the dog</w:t>
      </w:r>
      <w:r>
        <w:t xml:space="preserve">, the animal control authority determines the dog is a dangerous dog, the animal control authority shall notify the owner in writing of the determination.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affidavit used to secure a sworn statement from a witness under 822.0421(a) shall include an option for the witness to have their personal information excepted from disclosure pursuant to Chapter 552.101 of the Government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 xml:space="preserve">
        <w:t> </w:t>
      </w:r>
      <w:r xml:space="preserve">
        <w:t> </w:t>
      </w:r>
      <w:r>
        <w:t xml:space="preserve">Notwithstanding any other law, including a municipal ordinance, an owner, not later than the 15th day after the date the owner is notified that a dog owned by the owner is a dangerous dog, may appeal the determination of the animal control authority to a justice, county, or municipal court of competent jurisdiction.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 xml:space="preserve">
        <w:t> </w:t>
      </w:r>
      <w:r xml:space="preserve">
        <w:t> </w:t>
      </w:r>
      <w:r>
        <w:t xml:space="preserve">To file an appeal under Subsection (b), the owner must: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file a notice of appeal of the animal control authority's dangerous dog determination with the court;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attach a copy of the determination from the animal control authority;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serve a copy of the notice of appeal on the animal control authority by mailing the notice through the United States Postal Service.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An owner may appeal the decision of the justice or municipal court under Subsection (b) in the manner described by Section 822.0424.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4909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