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88R13486 KBB-D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Martinez Fischer</w:t>
      </w:r>
      <w:r xml:space="preserve">
        <w:tab wTab="150" tlc="none" cTlc="0"/>
      </w:r>
      <w:r>
        <w:t xml:space="preserve">H.B.</w:t>
      </w:r>
      <w:r xml:space="preserve">
        <w:t> </w:t>
      </w:r>
      <w:r>
        <w:t xml:space="preserve">No.</w:t>
      </w:r>
      <w:r xml:space="preserve">
        <w:t> </w:t>
      </w:r>
      <w:r>
        <w:t xml:space="preserve">4911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one-time cash payment to certain residents of this state.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w:t>
      </w:r>
      <w:r>
        <w:t xml:space="preserve"> </w:t>
      </w:r>
      <w:r>
        <w:t xml:space="preserve">The comptroller of public accounts of the State of Texas shall make a one-time payment to each resident of this state to whom the Department of Public Safety of the State of Texas has issued a form of identification, as provided by this section.</w:t>
      </w:r>
    </w:p>
    <w:p w:rsidR="003F3435" w:rsidRDefault="0032493E">
      <w:pPr>
        <w:spacing w:line="480" w:lineRule="auto"/>
        <w:ind w:firstLine="720"/>
        <w:jc w:val="both"/>
      </w:pPr>
      <w:r>
        <w:t xml:space="preserve">(b)</w:t>
      </w:r>
      <w:r xml:space="preserve">
        <w:t> </w:t>
      </w:r>
      <w:r xml:space="preserve">
        <w:t> </w:t>
      </w:r>
      <w:r>
        <w:t xml:space="preserve">The Department of Public Safety of the State of Texas shall provide the comptroller of public accounts of the State of Texas with a list of the names and addresses of each individual who holds a current form of identification issued by that department as shown by that department's records.</w:t>
      </w:r>
    </w:p>
    <w:p w:rsidR="003F3435" w:rsidRDefault="0032493E">
      <w:pPr>
        <w:spacing w:line="480" w:lineRule="auto"/>
        <w:ind w:firstLine="720"/>
        <w:jc w:val="both"/>
      </w:pPr>
      <w:r>
        <w:t xml:space="preserve">(c)</w:t>
      </w:r>
      <w:r xml:space="preserve">
        <w:t> </w:t>
      </w:r>
      <w:r xml:space="preserve">
        <w:t> </w:t>
      </w:r>
      <w:r>
        <w:t xml:space="preserve">The comptroller of public accounts of the State of Texas shall issue a single payment of $500 to each individual identified on the list provided under Subsection (b) of this section and whose listed address is in this state.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An amount, estimated not to exceed $15 billion, is appropriated from the economic stabilization fund to the comptroller of public accounts of the State of Texas for the state fiscal biennium beginning September 1, 2023, to provide the payments required by Section 1 of this Act and to pay costs incurred by the comptroller and by the Department of Public Safety of the State of Texas in facilitating the payments.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4911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