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88R20569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 Cain, Bernal</w:t>
      </w:r>
      <w:r xml:space="preserve">
        <w:tab wTab="150" tlc="none" cTlc="0"/>
      </w:r>
      <w:r>
        <w:t xml:space="preserve">H.B.</w:t>
      </w:r>
      <w:r xml:space="preserve">
        <w:t> </w:t>
      </w:r>
      <w:r>
        <w:t xml:space="preserve">No.</w:t>
      </w:r>
      <w:r xml:space="preserve">
        <w:t> </w:t>
      </w:r>
      <w:r>
        <w:t xml:space="preserve">4918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4918:</w:t>
      </w: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C.S.H.B.</w:t>
      </w:r>
      <w:r xml:space="preserve">
        <w:t> </w:t>
      </w:r>
      <w:r>
        <w:t xml:space="preserve">No.</w:t>
      </w:r>
      <w:r xml:space="preserve">
        <w:t> </w:t>
      </w:r>
      <w:r>
        <w:t xml:space="preserve">4918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processing, manufacture, and sale of hemp products for smoking.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122.301(b),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A state agency may [</w:t>
      </w:r>
      <w:r>
        <w:rPr>
          <w:strike/>
        </w:rPr>
        <w:t xml:space="preserve">not</w:t>
      </w:r>
      <w:r>
        <w:t xml:space="preserve">] authorize a person to manufacture a product containing hemp for smoking</w:t>
      </w:r>
      <w:r>
        <w:rPr>
          <w:u w:val="single"/>
        </w:rPr>
        <w:t xml:space="preserve">. </w:t>
      </w:r>
      <w:r>
        <w:rPr>
          <w:u w:val="single"/>
        </w:rPr>
        <w:t xml:space="preserve"> </w:t>
      </w:r>
      <w:r>
        <w:rPr>
          <w:u w:val="single"/>
        </w:rPr>
        <w:t xml:space="preserve">For the purposes of this subsection, "smoking" means burning or igniting a substance and inhaling the smoke or heating a substance and inhaling the resulting vapor or aerosol</w:t>
      </w:r>
      <w:r>
        <w:t xml:space="preserve"> </w:t>
      </w:r>
      <w:r>
        <w:t xml:space="preserve">[</w:t>
      </w:r>
      <w:r>
        <w:rPr>
          <w:strike/>
        </w:rPr>
        <w:t xml:space="preserve">, as defined by Section 443.001, Health and Safety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SALE OF CONSUMABLE HEMP PRODUCTS.  Rules adopted by the executive commissioner regulating the sale of consumable hemp products must to the extent allowable by federal law reflect the following principles:</w:t>
      </w:r>
    </w:p>
    <w:p w:rsidR="003F3435" w:rsidRDefault="0032493E">
      <w:pPr>
        <w:spacing w:line="480" w:lineRule="auto"/>
        <w:ind w:firstLine="1440"/>
        <w:jc w:val="both"/>
      </w:pPr>
      <w:r>
        <w:t xml:space="preserve">(1)</w:t>
      </w:r>
      <w:r xml:space="preserve">
        <w:t> </w:t>
      </w:r>
      <w:r xml:space="preserve">
        <w:t> </w:t>
      </w:r>
      <w:r>
        <w:t xml:space="preserve">hemp-derived cannabinoids, including cannabidiol, are not considered controlled substances or adulterants;</w:t>
      </w:r>
    </w:p>
    <w:p w:rsidR="003F3435" w:rsidRDefault="0032493E">
      <w:pPr>
        <w:spacing w:line="480" w:lineRule="auto"/>
        <w:ind w:firstLine="1440"/>
        <w:jc w:val="both"/>
      </w:pPr>
      <w:r>
        <w:t xml:space="preserve">(2)</w:t>
      </w:r>
      <w:r xml:space="preserve">
        <w:t> </w:t>
      </w:r>
      <w:r xml:space="preserve">
        <w:t> </w:t>
      </w:r>
      <w:r>
        <w:t xml:space="preserve">products containing one or more hemp-derived cannabinoids, such as cannabidiol, intended for ingestion are considered foods, not controlled substances or adulterated products;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consumable hemp products must be packaged and labeled in the manner provided by Section 443.205 [</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processing or manufacturing of a consumable hemp product for smoking is prohibited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443.001(11),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