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or manufacturing of consumable hemp products for smoking.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</w:t>
      </w:r>
      <w:r>
        <w:t xml:space="preserve">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122.301, Agriculture Code, is amended by amending Subsection (b)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agency may [</w:t>
      </w:r>
      <w:r>
        <w:rPr>
          <w:strike/>
        </w:rPr>
        <w:t xml:space="preserve">not</w:t>
      </w:r>
      <w:r>
        <w:t xml:space="preserve">] authorize a person to manufacture a product containing hemp for smoking.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(b), "Smoking" means burning or igniting a substance and inhaling the smoke or heating a substance and inhaling the resulting vapor or aerosol.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443.204, Health and Safety Code, is amended by amending Subsections (2) and (3)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products containing one or more hemp-derived cannabinoids, such as cannabidiol, intended for ingestion are considered foods, not controlled substances or adulterated products;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consumable hemp products must be packaged and labeled in the manner provided by Section 443.205</w:t>
      </w:r>
      <w:r>
        <w:rPr>
          <w:u w:val="single"/>
        </w:rPr>
        <w:t xml:space="preserve">.</w:t>
      </w:r>
      <w:r>
        <w:t xml:space="preserve"> [</w:t>
      </w:r>
      <w:r>
        <w:rPr>
          <w:strike/>
        </w:rPr>
        <w:t xml:space="preserve">; and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443.001(11) and 443.204(4), Health and Safety Code, are repealed: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