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88R14449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4921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for certain inmates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12.255,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(c) or any other law and in addition to the number of charters allowed under this section and Subchapter D, the commissioner, on the basis of submitted proposals, shall grant a charter to a nonprofit entity described by Section 12.256 to provide an adult education program to inmates under the pilot program established under Section 493.035,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department shall establish a pilot program under which one or more nonprofit entities provide an adult education program under Subchapter G, Chapter 12, Education Code, to enable inmates described by Subsection (b) to successfully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program that can lead to a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career and technology education courses that can lead to industry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inmate who is at least 26 years of age and not more than 50 years of age is eligible to enroll in an adult education program operated under the pilot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failed to complete the curriculum requirements for high school graduation;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failed to perform satisfactorily on an assessment instrument required for high school graduation;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approves the inmate's enrollment in the program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assessing the inmate's suitability for participation in the program using the results of the risk and needs assessment instrument adopted under Section 501.0921;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the inmate's conduct while in the custody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admitting inmates to an adult education program operated under the pilot program, the nonprofit entity shall give priority to an inmate who has not earned a high school equivalency certificate.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a request for proposals from nonprofit entities described by Section 12.256, Education Code, to provide an adult education program under the pilot program.  The department shall require that each applicant identify in the applicant's proposal each region of this state in which the applicant is able to operate an adult education program under the pilot program.</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contract with at least one qualified applicant to operate an adult education program under the pilot program.</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consultation with each nonprofit entity that the department contracts with under this section, shall identify at least three and not more than five facilities operated by the department that are suitable to serve as sites for the pilot program.</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the Texas Department of Criminal Justice shall establish and implement the pilot program required by Section 493.035,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