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88R20086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certain health care provider participation programs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