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Springer)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4928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5,</w:t>
      </w:r>
      <w:r xml:space="preserve">
        <w:t> </w:t>
      </w:r>
      <w:r>
        <w:t xml:space="preserve">2023; May</w:t>
      </w:r>
      <w:r xml:space="preserve">
        <w:t> </w:t>
      </w:r>
      <w:r>
        <w:t xml:space="preserve">10,</w:t>
      </w:r>
      <w:r xml:space="preserve">
        <w:t> </w:t>
      </w:r>
      <w:r>
        <w:t xml:space="preserve">2023, read first time and referred to Committee on Local Government;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continuation of certain health care provider participation programs in certain counties.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292C.004,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292C.004.</w:t>
      </w:r>
      <w:r xml:space="preserve">
        <w:t> </w:t>
      </w:r>
      <w:r xml:space="preserve">
        <w:t> </w:t>
      </w:r>
      <w:r>
        <w:t xml:space="preserve">EXPIRATION. </w:t>
      </w:r>
      <w:r>
        <w:t xml:space="preserve"> </w:t>
      </w:r>
      <w:r>
        <w:t xml:space="preserve">The authority of a county to administer and operate a program under this chapter expires December 31, </w:t>
      </w:r>
      <w:r>
        <w:rPr>
          <w:u w:val="single"/>
        </w:rPr>
        <w:t xml:space="preserve">2027</w:t>
      </w:r>
      <w:r>
        <w:t xml:space="preserve"> [</w:t>
      </w:r>
      <w:r>
        <w:rPr>
          <w:strike/>
        </w:rPr>
        <w:t xml:space="preserve">2023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4928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