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88R14538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4936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awarding of state agency contracts to new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2155, Government Code, is amended by adding Section 2155.0735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2155.0735.</w:t>
      </w:r>
      <w:r>
        <w:rPr>
          <w:u w:val="single"/>
        </w:rPr>
        <w:t xml:space="preserve"> </w:t>
      </w:r>
      <w:r>
        <w:rPr>
          <w:u w:val="single"/>
        </w:rPr>
        <w:t xml:space="preserve"> </w:t>
      </w:r>
      <w:r>
        <w:rPr>
          <w:u w:val="single"/>
        </w:rPr>
        <w:t xml:space="preserve">PARTICIPATION BY NEW BUSINESSES IN STATE PURCHASING.  (a)  In this section, "new business" means a business in operation for less than five years with its principal place of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make reasonable efforts to increase the number of contracts for the purchase of goods or services awarded by state agencies to new businesses to at least five percent of awarded contracts in a state fiscal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