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88R14389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4938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fees for newly formed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405, Government Code, is amended by adding Section 405.025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405.025.</w:t>
      </w:r>
      <w:r>
        <w:rPr>
          <w:u w:val="single"/>
        </w:rPr>
        <w:t xml:space="preserve"> </w:t>
      </w:r>
      <w:r>
        <w:rPr>
          <w:u w:val="single"/>
        </w:rPr>
        <w:t xml:space="preserve"> </w:t>
      </w:r>
      <w:r>
        <w:rPr>
          <w:u w:val="single"/>
        </w:rPr>
        <w:t xml:space="preserve">ELIMINATION OF FIRST YEAR BUSINESS ENTITY FEES.  The secretary of state shall, in coordination with appropriate state and local governmental entities, work to eliminate all fees relating to licensing and registration required to be paid by a business entity in the entity's first year of business, to the extent authorized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