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public money under certain economic development agreements or programs adopted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380.002(c),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funds granted by the municipality under this section shall be derived from any source lawfully available to the municipality under its charter or other law, other than from the proceeds of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 valorem taxes; or</w:t>
      </w:r>
    </w:p>
    <w:p w:rsidR="003F3435" w:rsidRDefault="0032493E">
      <w:pPr>
        <w:spacing w:line="480" w:lineRule="auto"/>
        <w:ind w:firstLine="1440"/>
        <w:jc w:val="both"/>
      </w:pPr>
      <w:r>
        <w:rPr>
          <w:u w:val="single"/>
        </w:rPr>
        <w:t xml:space="preserve">(2)</w:t>
      </w:r>
      <w:r xml:space="preserve">
        <w:t> </w:t>
      </w:r>
      <w:r xml:space="preserve">
        <w:t> </w:t>
      </w:r>
      <w:r>
        <w:t xml:space="preserve">bonds or other obligations of the municipality payable from ad valorem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380, Local Government Code, is amended by adding Sections 380.005 and 380.006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380.005.</w:t>
      </w:r>
      <w:r>
        <w:rPr>
          <w:u w:val="single"/>
        </w:rPr>
        <w:t xml:space="preserve"> </w:t>
      </w:r>
      <w:r>
        <w:rPr>
          <w:u w:val="single"/>
        </w:rPr>
        <w:t xml:space="preserve"> </w:t>
      </w:r>
      <w:r>
        <w:rPr>
          <w:u w:val="single"/>
        </w:rPr>
        <w:t xml:space="preserve">LIMITATIONS ON LOANS AND GRANTS OF PUBLIC MONEY. </w:t>
      </w:r>
      <w:r>
        <w:rPr>
          <w:u w:val="single"/>
        </w:rPr>
        <w:t xml:space="preserve"> </w:t>
      </w:r>
      <w:r>
        <w:rPr>
          <w:u w:val="single"/>
        </w:rPr>
        <w:t xml:space="preserve">(a) </w:t>
      </w:r>
      <w:r>
        <w:rPr>
          <w:u w:val="single"/>
        </w:rPr>
        <w:t xml:space="preserve"> </w:t>
      </w:r>
      <w:r>
        <w:rPr>
          <w:u w:val="single"/>
        </w:rPr>
        <w:t xml:space="preserve">A municipality may not make a loan or grant of public money under this chapter from the proceeds of ad valorem taxes or bonds or other obligations of the municipality payable from ad valorem taxes.  The municipality may use any other source lawfully available to the municipality under its charter or other law, including proceeds from sales taxes and fees, to  make the loan or grant.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make a loan or grant under this chapter for a period exceeding 10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380.006.</w:t>
      </w:r>
      <w:r>
        <w:rPr>
          <w:u w:val="single"/>
        </w:rPr>
        <w:t xml:space="preserve"> </w:t>
      </w:r>
      <w:r>
        <w:rPr>
          <w:u w:val="single"/>
        </w:rPr>
        <w:t xml:space="preserve"> </w:t>
      </w:r>
      <w:r>
        <w:rPr>
          <w:u w:val="single"/>
        </w:rPr>
        <w:t xml:space="preserve">PUBLIC MEETING AND NOTICE REQUIREMENTS.  (a)  Before a municipality may make a loan or grant under this  chapter, the governing body of the municipality must hold a public hearing regarding the proposed loan or grant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that maintains an Internet website shall post the current version of the proposed loan or grant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governing body of a municipality will consider the adoption of a proposed loan or grant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loan or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loan or grant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and period of time for the loan or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municipality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postpones a meeting required by this  section to a later date, the municipality must hold the  postponed meeting not more than 10 business days after the date  for which the meeting was originally scheduled.  If the postponement would result in the meeting being held more than 30  business days after the date the municipality gave notice of the  meeting, the municipality must give a new notice of the meeting as provided by Subsection (e).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381, Local Government Code, is amended by adding Sections 381.006 and 381.007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381.006.</w:t>
      </w:r>
      <w:r>
        <w:rPr>
          <w:u w:val="single"/>
        </w:rPr>
        <w:t xml:space="preserve"> </w:t>
      </w:r>
      <w:r>
        <w:rPr>
          <w:u w:val="single"/>
        </w:rPr>
        <w:t xml:space="preserve"> </w:t>
      </w:r>
      <w:r>
        <w:rPr>
          <w:u w:val="single"/>
        </w:rPr>
        <w:t xml:space="preserve">LIMITATIONS ON USE OF COUNTY MONEY.  (a)  A county, county industrial commission, or development board, as  applicable, may not use county money for a purpose authorized by this chapter from the proceeds of ad valorem taxes or bonds or other obligations of the county payable from ad valorem taxes.  The county may use any other source lawfully available to the  county under other law, including proceeds from sales taxes and fees, for a purpose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make a loan or grant under this chapter for a period exceeding 10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381.007.</w:t>
      </w:r>
      <w:r>
        <w:rPr>
          <w:u w:val="single"/>
        </w:rPr>
        <w:t xml:space="preserve"> </w:t>
      </w:r>
      <w:r>
        <w:rPr>
          <w:u w:val="single"/>
        </w:rPr>
        <w:t xml:space="preserve"> </w:t>
      </w:r>
      <w:r>
        <w:rPr>
          <w:u w:val="single"/>
        </w:rPr>
        <w:t xml:space="preserve">PUBLIC MEETING AND NOTICE REQUIREMENTS.  (a)  Before a county may use county money for a purpose authorized by this chapter, the commissioners court of the county must hold a public hearing regarding the proposed use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that maintains an Internet website shall post  the current version of the proposed use of county money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commissioners court of a county will consider the adoption of a proposed use of county money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county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county money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amount of and period of time  for a loan or grant of county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county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county postpones a meeting required by this section to a later date, the county must hold the postponed meeting not more than 10 business days after the date for which the meeting was originally scheduled. If the postponement would result in the meeting being held more than 30 business days  after the date the county gave notice of the meeting, the county must give a new notice of the meeting as provided by Subsection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312, Tax Code, is amended by adding Section 312.008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312.008.</w:t>
      </w:r>
      <w:r>
        <w:rPr>
          <w:u w:val="single"/>
        </w:rPr>
        <w:t xml:space="preserve"> </w:t>
      </w:r>
      <w:r>
        <w:rPr>
          <w:u w:val="single"/>
        </w:rPr>
        <w:t xml:space="preserve"> </w:t>
      </w:r>
      <w:r>
        <w:rPr>
          <w:u w:val="single"/>
        </w:rPr>
        <w:t xml:space="preserve">LIMITATION ON TAX ABATEMENT AGREEMENTS.  In a tax abatement agreement entered into under this chapter, a taxing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an abatement of the taxing unit's ad valorem taxes;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a loan or grant of public money from any other source.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312.207,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The notice of a meeting required by this section must be given in the manner required by Chapter 551, Government Code, except </w:t>
      </w:r>
      <w:r>
        <w:rPr>
          <w:u w:val="single"/>
        </w:rPr>
        <w:t xml:space="preserve">as otherwise provided by this section</w:t>
      </w:r>
      <w:r>
        <w:t xml:space="preserve"> [</w:t>
      </w:r>
      <w:r>
        <w:rPr>
          <w:strike/>
        </w:rPr>
        <w:t xml:space="preserve">that the notice must be provided at least 30 days before the scheduled time of the meeting</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or other taxing unit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or other taxing unit postpones a meeting required by this section to a later date, the  municipality or other taxing unit must hold the postponed meeting not more than 10 business days after the date for which the meeting was originally scheduled. If the postponement would result in the meeting being held more than 30 business days  after the date the municipality or other taxing unit gave notice  of the meeting, the municipality or other taxing unit must give  a new notice of the meeting as provided by Subsection (e).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381.002(a) and 381.004(g), Local Government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agreement entered into on or after the effective date of this Act. An agreement entered into before the effective date of this Act is governed by the law applicable to the contract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