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4942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amount of an expenditure made by a municipality for which competitive bidding is required.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252.021(a),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a municipality may enter into a contract that requires an expenditure of more than </w:t>
      </w:r>
      <w:r>
        <w:rPr>
          <w:u w:val="single"/>
        </w:rPr>
        <w:t xml:space="preserve">$100,000</w:t>
      </w:r>
      <w:r>
        <w:t xml:space="preserve"> [</w:t>
      </w:r>
      <w:r>
        <w:rPr>
          <w:strike/>
        </w:rPr>
        <w:t xml:space="preserve">$50,000</w:t>
      </w:r>
      <w:r>
        <w:t xml:space="preserve">] from one or more municipal funds, the municipality must:</w:t>
      </w:r>
    </w:p>
    <w:p w:rsidR="003F3435" w:rsidRDefault="0032493E">
      <w:pPr>
        <w:spacing w:line="480" w:lineRule="auto"/>
        <w:ind w:firstLine="1440"/>
        <w:jc w:val="both"/>
      </w:pPr>
      <w:r>
        <w:t xml:space="preserve">(1)</w:t>
      </w:r>
      <w:r xml:space="preserve">
        <w:t> </w:t>
      </w:r>
      <w:r xml:space="preserve">
        <w:t> </w:t>
      </w:r>
      <w:r>
        <w:t xml:space="preserve">comply with the procedure prescribed by this subchapter and Subchapter C for competitive sealed bidding or competitive sealed proposals;</w:t>
      </w:r>
    </w:p>
    <w:p w:rsidR="003F3435" w:rsidRDefault="0032493E">
      <w:pPr>
        <w:spacing w:line="480" w:lineRule="auto"/>
        <w:ind w:firstLine="1440"/>
        <w:jc w:val="both"/>
      </w:pPr>
      <w:r>
        <w:t xml:space="preserve">(2)</w:t>
      </w:r>
      <w:r xml:space="preserve">
        <w:t> </w:t>
      </w:r>
      <w:r xml:space="preserve">
        <w:t> </w:t>
      </w:r>
      <w:r>
        <w:t xml:space="preserve">use the reverse auction procedure, as defined by Section 2155.062(d), Government Code, for purchasing; or</w:t>
      </w:r>
    </w:p>
    <w:p w:rsidR="003F3435" w:rsidRDefault="0032493E">
      <w:pPr>
        <w:spacing w:line="480" w:lineRule="auto"/>
        <w:ind w:firstLine="1440"/>
        <w:jc w:val="both"/>
      </w:pPr>
      <w:r>
        <w:t xml:space="preserve">(3)</w:t>
      </w:r>
      <w:r xml:space="preserve">
        <w:t> </w:t>
      </w:r>
      <w:r xml:space="preserve">
        <w:t> </w:t>
      </w:r>
      <w:r>
        <w:t xml:space="preserve">comply with a method described by Chapter 2269,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252.0215, Local Government Code, is amended to read as follows:</w:t>
      </w:r>
    </w:p>
    <w:p w:rsidR="003F3435" w:rsidRDefault="0032493E">
      <w:pPr>
        <w:spacing w:line="480" w:lineRule="auto"/>
        <w:ind w:firstLine="720"/>
        <w:jc w:val="both"/>
      </w:pPr>
      <w:r>
        <w:t xml:space="preserve">Sec.</w:t>
      </w:r>
      <w:r xml:space="preserve">
        <w:t> </w:t>
      </w:r>
      <w:r>
        <w:t xml:space="preserve">252.0215.</w:t>
      </w:r>
      <w:r xml:space="preserve">
        <w:t> </w:t>
      </w:r>
      <w:r xml:space="preserve">
        <w:t> </w:t>
      </w:r>
      <w:r>
        <w:t xml:space="preserve">COMPETITIVE BIDDING IN RELATION TO HISTORICALLY UNDERUTILIZED BUSINESS. </w:t>
      </w:r>
      <w:r>
        <w:t xml:space="preserve">A municipality, in making an expenditure of more than </w:t>
      </w:r>
      <w:r>
        <w:rPr>
          <w:u w:val="single"/>
        </w:rPr>
        <w:t xml:space="preserve">$10,000</w:t>
      </w:r>
      <w:r>
        <w:t xml:space="preserve"> [</w:t>
      </w:r>
      <w:r>
        <w:rPr>
          <w:strike/>
        </w:rPr>
        <w:t xml:space="preserve">$3,000</w:t>
      </w:r>
      <w:r>
        <w:t xml:space="preserve">] but less than </w:t>
      </w:r>
      <w:r>
        <w:rPr>
          <w:u w:val="single"/>
        </w:rPr>
        <w:t xml:space="preserve">$100,000</w:t>
      </w:r>
      <w:r>
        <w:t xml:space="preserve"> [</w:t>
      </w:r>
      <w:r>
        <w:rPr>
          <w:strike/>
        </w:rPr>
        <w:t xml:space="preserve">$50,000</w:t>
      </w:r>
      <w:r>
        <w:t xml:space="preserve">], shall contact at least two historically underutilized businesses on a rotating basis, based on information provided by the comptroller pursuant to Chapter 2161, Government Code.  If the list fails to identify a historically underutilized business in the county in which the municipality is situated, the municipality is exempt from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purchase made on or after the effective date of this Act.  A purchase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