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88R14207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4946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disqualification of and peremptory challenges to certain prospective jurors.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PROHIBITED PEREMPTORY JURY CHALLENGES.  (a) After the parties to a case deliver jury lists to the court clerk and before the court impanels the jury, either party may request the court to dismiss the array of jurors and call a new array in the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grant the motion of a complaining party for dismissal of the array of jurors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attorney representing the opposing party exercised peremptory challenges for the purpose of excluding prospective jurors from the jury based on their actual or perceived race, ethnicity, sex, gender identity, sexual orientation, disability status, national origin, economic status, or religious affiliation;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complaining party has offered evidence of relevant facts that tend to show the attorney representing the opposing party made peremptory challenges for a reason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complaining party establishes a prima facie case under Subsection (b), the burden shifts to the attorney representing the opposing party to provide an explanation for the peremptory challenges that is neutral to the classes described by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finds that either attorney challenged prospective jurors for a reason described by Subsection (b)(1), the court shall call a new array in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35.261, Code of Criminal Procedure, is amended to read as follows:</w:t>
      </w:r>
    </w:p>
    <w:p w:rsidR="003F3435" w:rsidRDefault="0032493E">
      <w:pPr>
        <w:spacing w:line="480" w:lineRule="auto"/>
        <w:ind w:firstLine="720"/>
        <w:jc w:val="both"/>
      </w:pPr>
      <w:r>
        <w:t xml:space="preserve">Art.</w:t>
      </w:r>
      <w:r xml:space="preserve">
        <w:t> </w:t>
      </w:r>
      <w:r>
        <w:t xml:space="preserve">35.261.</w:t>
      </w:r>
      <w:r xml:space="preserve">
        <w:t> </w:t>
      </w:r>
      <w:r xml:space="preserve">
        <w:t> </w:t>
      </w:r>
      <w:r>
        <w:rPr>
          <w:u w:val="single"/>
        </w:rPr>
        <w:t xml:space="preserve">PROHIBITED</w:t>
      </w:r>
      <w:r>
        <w:t xml:space="preserve"> PEREMPTORY CHALLENGES BASED ON </w:t>
      </w:r>
      <w:r>
        <w:rPr>
          <w:u w:val="single"/>
        </w:rPr>
        <w:t xml:space="preserve">CERTAIN CLASSES</w:t>
      </w:r>
      <w:r>
        <w:t xml:space="preserve"> [</w:t>
      </w:r>
      <w:r>
        <w:rPr>
          <w:strike/>
        </w:rPr>
        <w:t xml:space="preserve">RACE PROHIBITED</w:t>
      </w:r>
      <w:r>
        <w:t xml:space="preserve">].  (a)  After the parties </w:t>
      </w:r>
      <w:r>
        <w:rPr>
          <w:u w:val="single"/>
        </w:rPr>
        <w:t xml:space="preserve">to a case deliver</w:t>
      </w:r>
      <w:r>
        <w:t xml:space="preserve"> [</w:t>
      </w:r>
      <w:r>
        <w:rPr>
          <w:strike/>
        </w:rPr>
        <w:t xml:space="preserve">have delivered</w:t>
      </w:r>
      <w:r>
        <w:t xml:space="preserve">] their lists to the clerk under Article 35.26 of this code and before the court </w:t>
      </w:r>
      <w:r>
        <w:rPr>
          <w:u w:val="single"/>
        </w:rPr>
        <w:t xml:space="preserve">impanels</w:t>
      </w:r>
      <w:r>
        <w:t xml:space="preserve"> </w:t>
      </w:r>
      <w:r>
        <w:t xml:space="preserve">[</w:t>
      </w:r>
      <w:r>
        <w:rPr>
          <w:strike/>
        </w:rPr>
        <w:t xml:space="preserve">has impanelled</w:t>
      </w:r>
      <w:r>
        <w:t xml:space="preserve">] the jury, </w:t>
      </w:r>
      <w:r>
        <w:rPr>
          <w:u w:val="single"/>
        </w:rPr>
        <w:t xml:space="preserve">either party</w:t>
      </w:r>
      <w:r>
        <w:t xml:space="preserve"> [</w:t>
      </w:r>
      <w:r>
        <w:rPr>
          <w:strike/>
        </w:rPr>
        <w:t xml:space="preserve">the defendant</w:t>
      </w:r>
      <w:r>
        <w:t xml:space="preserve">] may request the court to dismiss the array and call a new array in the case.</w:t>
      </w:r>
    </w:p>
    <w:p w:rsidR="003F3435" w:rsidRDefault="0032493E">
      <w:pPr>
        <w:spacing w:line="480" w:lineRule="auto"/>
        <w:ind w:firstLine="720"/>
        <w:jc w:val="both"/>
      </w:pPr>
      <w:r>
        <w:rPr>
          <w:u w:val="single"/>
        </w:rPr>
        <w:t xml:space="preserve">(b)</w:t>
      </w:r>
      <w:r xml:space="preserve">
        <w:t> </w:t>
      </w:r>
      <w:r xml:space="preserve">
        <w:t> </w:t>
      </w:r>
      <w:r>
        <w:t xml:space="preserve">The court shall grant the motion of a </w:t>
      </w:r>
      <w:r>
        <w:rPr>
          <w:u w:val="single"/>
        </w:rPr>
        <w:t xml:space="preserve">party</w:t>
      </w:r>
      <w:r>
        <w:t xml:space="preserve"> [</w:t>
      </w:r>
      <w:r>
        <w:rPr>
          <w:strike/>
        </w:rPr>
        <w:t xml:space="preserve">defendant</w:t>
      </w:r>
      <w:r>
        <w:t xml:space="preserve">] for dismissal of the array if the court </w:t>
      </w:r>
      <w:r>
        <w:rPr>
          <w:u w:val="single"/>
        </w:rPr>
        <w:t xml:space="preserve">finds: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determines that the defendant is a member of an identifiable racial group, that</w:t>
      </w:r>
      <w:r>
        <w:t xml:space="preserve">] the attorney representing the </w:t>
      </w:r>
      <w:r>
        <w:rPr>
          <w:u w:val="single"/>
        </w:rPr>
        <w:t xml:space="preserve">opposing party</w:t>
      </w:r>
      <w:r>
        <w:t xml:space="preserve"> [</w:t>
      </w:r>
      <w:r>
        <w:rPr>
          <w:strike/>
        </w:rPr>
        <w:t xml:space="preserve">state</w:t>
      </w:r>
      <w:r>
        <w:t xml:space="preserve">] exercised peremptory challenges for the purpose of excluding persons from the jury </w:t>
      </w:r>
      <w:r>
        <w:rPr>
          <w:u w:val="single"/>
        </w:rPr>
        <w:t xml:space="preserve">based</w:t>
      </w:r>
      <w:r>
        <w:t xml:space="preserve"> on [</w:t>
      </w:r>
      <w:r>
        <w:rPr>
          <w:strike/>
        </w:rPr>
        <w:t xml:space="preserve">the basis of</w:t>
      </w:r>
      <w:r>
        <w:t xml:space="preserve">] their </w:t>
      </w:r>
      <w:r>
        <w:rPr>
          <w:u w:val="single"/>
        </w:rPr>
        <w:t xml:space="preserve">actual or perceived</w:t>
      </w:r>
      <w:r>
        <w:t xml:space="preserve"> race, </w:t>
      </w:r>
      <w:r>
        <w:rPr>
          <w:u w:val="single"/>
        </w:rPr>
        <w:t xml:space="preserve">ethnicity, sex, gender identity, sexual orientation, disability status, national origin, economic status, or religious affiliation;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the </w:t>
      </w:r>
      <w:r>
        <w:rPr>
          <w:u w:val="single"/>
        </w:rPr>
        <w:t xml:space="preserve">complaining party</w:t>
      </w:r>
      <w:r>
        <w:t xml:space="preserve"> [</w:t>
      </w:r>
      <w:r>
        <w:rPr>
          <w:strike/>
        </w:rPr>
        <w:t xml:space="preserve">defendant</w:t>
      </w:r>
      <w:r>
        <w:t xml:space="preserve">] has offered evidence of relevant facts that tend to show that challenges made by the attorney representing the </w:t>
      </w:r>
      <w:r>
        <w:rPr>
          <w:u w:val="single"/>
        </w:rPr>
        <w:t xml:space="preserve">opposing party</w:t>
      </w:r>
      <w:r>
        <w:t xml:space="preserve"> [</w:t>
      </w:r>
      <w:r>
        <w:rPr>
          <w:strike/>
        </w:rPr>
        <w:t xml:space="preserve">state</w:t>
      </w:r>
      <w:r>
        <w:t xml:space="preserve">] were made for </w:t>
      </w:r>
      <w:r>
        <w:rPr>
          <w:u w:val="single"/>
        </w:rPr>
        <w:t xml:space="preserve">a reason described by Subdivision (1)</w:t>
      </w:r>
      <w:r>
        <w:t xml:space="preserve"> [</w:t>
      </w:r>
      <w:r>
        <w:rPr>
          <w:strike/>
        </w:rPr>
        <w:t xml:space="preserve">reasons based on race</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If the </w:t>
      </w:r>
      <w:r>
        <w:rPr>
          <w:u w:val="single"/>
        </w:rPr>
        <w:t xml:space="preserve">complaining party</w:t>
      </w:r>
      <w:r>
        <w:t xml:space="preserve"> </w:t>
      </w:r>
      <w:r>
        <w:t xml:space="preserve">[</w:t>
      </w:r>
      <w:r>
        <w:rPr>
          <w:strike/>
        </w:rPr>
        <w:t xml:space="preserve">defendant</w:t>
      </w:r>
      <w:r>
        <w:t xml:space="preserve">] establishes a prima facie case </w:t>
      </w:r>
      <w:r>
        <w:rPr>
          <w:u w:val="single"/>
        </w:rPr>
        <w:t xml:space="preserve">under Subsection (b)</w:t>
      </w:r>
      <w:r>
        <w:t xml:space="preserve">, the burden [</w:t>
      </w:r>
      <w:r>
        <w:rPr>
          <w:strike/>
        </w:rPr>
        <w:t xml:space="preserve">then</w:t>
      </w:r>
      <w:r>
        <w:t xml:space="preserve">] shifts to the attorney representing the </w:t>
      </w:r>
      <w:r>
        <w:rPr>
          <w:u w:val="single"/>
        </w:rPr>
        <w:t xml:space="preserve">opposing party</w:t>
      </w:r>
      <w:r>
        <w:t xml:space="preserve"> </w:t>
      </w:r>
      <w:r>
        <w:t xml:space="preserve">[</w:t>
      </w:r>
      <w:r>
        <w:rPr>
          <w:strike/>
        </w:rPr>
        <w:t xml:space="preserve">state</w:t>
      </w:r>
      <w:r>
        <w:t xml:space="preserve">] to give </w:t>
      </w:r>
      <w:r>
        <w:rPr>
          <w:u w:val="single"/>
        </w:rPr>
        <w:t xml:space="preserve">an</w:t>
      </w:r>
      <w:r>
        <w:t xml:space="preserve"> [</w:t>
      </w:r>
      <w:r>
        <w:rPr>
          <w:strike/>
        </w:rPr>
        <w:t xml:space="preserve">a racially neutral</w:t>
      </w:r>
      <w:r>
        <w:t xml:space="preserve">] explanation for the challenges </w:t>
      </w:r>
      <w:r>
        <w:rPr>
          <w:u w:val="single"/>
        </w:rPr>
        <w:t xml:space="preserve">that is neutral to the classes described by Subsection (b)(1)</w:t>
      </w:r>
      <w:r>
        <w:t xml:space="preserve">. [</w:t>
      </w:r>
      <w:r>
        <w:rPr>
          <w:strike/>
        </w:rPr>
        <w:t xml:space="preserve">The burden of persuasion remains with the defendant to establish purposeful discrimination.</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If the court </w:t>
      </w:r>
      <w:r>
        <w:rPr>
          <w:u w:val="single"/>
        </w:rPr>
        <w:t xml:space="preserve">finds</w:t>
      </w:r>
      <w:r>
        <w:t xml:space="preserve"> [</w:t>
      </w:r>
      <w:r>
        <w:rPr>
          <w:strike/>
        </w:rPr>
        <w:t xml:space="preserve">determines</w:t>
      </w:r>
      <w:r>
        <w:t xml:space="preserve">] that </w:t>
      </w:r>
      <w:r>
        <w:rPr>
          <w:u w:val="single"/>
        </w:rPr>
        <w:t xml:space="preserve">either</w:t>
      </w:r>
      <w:r>
        <w:t xml:space="preserve"> [</w:t>
      </w:r>
      <w:r>
        <w:rPr>
          <w:strike/>
        </w:rPr>
        <w:t xml:space="preserve">the</w:t>
      </w:r>
      <w:r>
        <w:t xml:space="preserve">] attorney [</w:t>
      </w:r>
      <w:r>
        <w:rPr>
          <w:strike/>
        </w:rPr>
        <w:t xml:space="preserve">representing the state</w:t>
      </w:r>
      <w:r>
        <w:t xml:space="preserve">] challenged prospective jurors </w:t>
      </w:r>
      <w:r>
        <w:rPr>
          <w:u w:val="single"/>
        </w:rPr>
        <w:t xml:space="preserve">for a reason described by Subsection (b)(1)</w:t>
      </w:r>
      <w:r>
        <w:t xml:space="preserve"> [</w:t>
      </w:r>
      <w:r>
        <w:rPr>
          <w:strike/>
        </w:rPr>
        <w:t xml:space="preserve">on the basis of race</w:t>
      </w:r>
      <w:r>
        <w:t xml:space="preserve">], the court shall call a new array in the case.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61, Government Code, is amended by adding Section 61.004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61.004.</w:t>
      </w:r>
      <w:r>
        <w:rPr>
          <w:u w:val="single"/>
        </w:rPr>
        <w:t xml:space="preserve"> </w:t>
      </w:r>
      <w:r>
        <w:rPr>
          <w:u w:val="single"/>
        </w:rPr>
        <w:t xml:space="preserve"> </w:t>
      </w:r>
      <w:r>
        <w:rPr>
          <w:u w:val="single"/>
        </w:rPr>
        <w:t xml:space="preserve">PROHIBITED JUROR DISQUALIFICATIONS.  Subject to Sections 62.104 and 62.1041, a person may not be disqualified to serve as a juror based on the person's actual or perceived race, ethnicity, sex, gender identity, sexual orientation, disability status, national origin, economic status, or religious affiliation.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