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88R14517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4950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amount of the appraised value of real property that arises from the installation in the property of certain energy efficiency-related improvements.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11.272.</w:t>
      </w:r>
      <w:r>
        <w:rPr>
          <w:u w:val="single"/>
        </w:rPr>
        <w:t xml:space="preserve"> </w:t>
      </w:r>
      <w:r>
        <w:rPr>
          <w:u w:val="single"/>
        </w:rPr>
        <w:t xml:space="preserve"> </w:t>
      </w:r>
      <w:r>
        <w:rPr>
          <w:u w:val="single"/>
        </w:rPr>
        <w:t xml:space="preserve">ENERGY-EFFICIENT IMPROVEMENTS. </w:t>
      </w:r>
      <w:r>
        <w:rPr>
          <w:u w:val="single"/>
        </w:rPr>
        <w:t xml:space="preserve"> </w:t>
      </w:r>
      <w:r>
        <w:rPr>
          <w:u w:val="single"/>
        </w:rPr>
        <w:t xml:space="preserve">(a) </w:t>
      </w:r>
      <w:r>
        <w:rPr>
          <w:u w:val="single"/>
        </w:rPr>
        <w:t xml:space="preserve"> </w:t>
      </w:r>
      <w:r>
        <w:rPr>
          <w:u w:val="single"/>
        </w:rPr>
        <w:t xml:space="preserve">In this section, "energy efficiency-related improvement" means an improvement or technology that reduces the amount of energy needed to perform the basic functions of a property,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high-efficiency heating, ventilation, and air conditioning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central air conditioning demand response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high-efficiency heat pump;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attic insulation;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radiant barrier;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smart thermostat;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high-efficiency water heater;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electric vehicle charging demand response technology;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high-efficiency windows;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sealing or resealing of doors, windows, or other openings.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the amount of the appraised value of real property owned by the person that arises from the installation in the property of an energy efficiency-related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with the assistance of the State Energy Conservation Office or its successor, shall develop guidelines to assist local officials in the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w:t>
      </w:r>
      <w:r>
        <w:rPr>
          <w:u w:val="single"/>
        </w:rPr>
        <w:t xml:space="preserve">11.272,</w:t>
      </w:r>
      <w:r>
        <w:t xml:space="preserve"> 11.29, 11.30, 11.31, 11.315, or 11.35,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2024 tax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to authorize the legislature to provide for an exemption from ad valorem taxation of the amount of the market value of real property that arises from the installation in the property of certain energy efficiency-related improvements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