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88R21993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4952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4952:</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C.S.H.B.</w:t>
      </w:r>
      <w:r xml:space="preserve">
        <w:t> </w:t>
      </w:r>
      <w:r>
        <w:t xml:space="preserve">No.</w:t>
      </w:r>
      <w:r xml:space="preserve">
        <w:t> </w:t>
      </w:r>
      <w:r>
        <w:t xml:space="preserve">4952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security of the electricity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38, Utilities Code, is amended by adding Section 38.205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w:t>
      </w:r>
      <w:r>
        <w:rPr>
          <w:u w:val="single"/>
        </w:rPr>
        <w:t xml:space="preserve"> </w:t>
      </w:r>
      <w:r>
        <w:rPr>
          <w:u w:val="single"/>
        </w:rPr>
        <w:t xml:space="preserve"> </w:t>
      </w:r>
      <w:r>
        <w:rPr>
          <w:u w:val="single"/>
        </w:rPr>
        <w:t xml:space="preserve">PHYSICAL SECURITY OF CRITICAL FACILITIES.  (a) </w:t>
      </w:r>
      <w:r>
        <w:rPr>
          <w:u w:val="single"/>
        </w:rPr>
        <w:t xml:space="preserve"> </w:t>
      </w:r>
      <w:r>
        <w:rPr>
          <w:u w:val="single"/>
        </w:rPr>
        <w:t xml:space="preserve">In this section, "critical facility" means a transmission substation and any associated control center the inoperability of which could result in widespread instability, uncontrolled separation, or cascading outages within an interconnection.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each electric utility, electric cooperative, municipally owned utility, river authority that owns electric transmission assets, and transmission and distribution utility to provide to the chair of the committee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of any critical facility owned or operated by the utility, cooperative, or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security measures in place to protect each critical facility against physical attack;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the applicable utility, cooperative, or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chair of the committee may share information provided to the chair under Subsection (b) related to a physical attack or a threat of a physical attack on a critical facility with a law enforcement agency that has jurisdiction over the critical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chair of the committee shall provide the Department of Public Safety with access to the information provided to the chair of the committee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Information provided to the chair of the committee or the Department of Public Safety under this section is confidential under Section 418.181, Government Code,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