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88R9934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H.B.</w:t>
      </w:r>
      <w:r xml:space="preserve">
        <w:t> </w:t>
      </w:r>
      <w:r>
        <w:t xml:space="preserve">No.</w:t>
      </w:r>
      <w:r xml:space="preserve">
        <w:t> </w:t>
      </w:r>
      <w:r>
        <w:t xml:space="preserve">4952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security of the electricity supply chain.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F, Chapter 38, Utilities Code, is amended to read as follows:</w:t>
      </w:r>
    </w:p>
    <w:p w:rsidR="003F3435" w:rsidRDefault="0032493E">
      <w:pPr>
        <w:spacing w:line="480" w:lineRule="auto"/>
        <w:jc w:val="center"/>
      </w:pPr>
      <w:r>
        <w:t xml:space="preserve">SUBCHAPTER F. [</w:t>
      </w:r>
      <w:r>
        <w:rPr>
          <w:strike/>
        </w:rPr>
        <w:t xml:space="preserve">TEXAS</w:t>
      </w:r>
      <w:r>
        <w:t xml:space="preserve">] ELECTRICITY SUPPLY CHAIN SECURITY AND MAPPING [</w:t>
      </w:r>
      <w:r>
        <w:rPr>
          <w:strike/>
        </w:rPr>
        <w:t xml:space="preserve">COMMITTEE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38.201(c), Utilities Code, is amended to read as follows:</w:t>
      </w:r>
    </w:p>
    <w:p w:rsidR="003F3435" w:rsidRDefault="0032493E">
      <w:pPr>
        <w:spacing w:line="480" w:lineRule="auto"/>
        <w:ind w:firstLine="720"/>
        <w:jc w:val="both"/>
      </w:pPr>
      <w:r>
        <w:t xml:space="preserve">(c)</w:t>
      </w:r>
      <w:r xml:space="preserve">
        <w:t> </w:t>
      </w:r>
      <w:r xml:space="preserve">
        <w:t> </w:t>
      </w:r>
      <w:r>
        <w:t xml:space="preserve">The committee is composed of:</w:t>
      </w:r>
    </w:p>
    <w:p w:rsidR="003F3435" w:rsidRDefault="0032493E">
      <w:pPr>
        <w:spacing w:line="480" w:lineRule="auto"/>
        <w:ind w:firstLine="1440"/>
        <w:jc w:val="both"/>
      </w:pPr>
      <w:r>
        <w:t xml:space="preserve">(1)</w:t>
      </w:r>
      <w:r xml:space="preserve">
        <w:t> </w:t>
      </w:r>
      <w:r xml:space="preserve">
        <w:t> </w:t>
      </w:r>
      <w:r>
        <w:t xml:space="preserve">the executive director of the commission;</w:t>
      </w:r>
    </w:p>
    <w:p w:rsidR="003F3435" w:rsidRDefault="0032493E">
      <w:pPr>
        <w:spacing w:line="480" w:lineRule="auto"/>
        <w:ind w:firstLine="1440"/>
        <w:jc w:val="both"/>
      </w:pPr>
      <w:r>
        <w:t xml:space="preserve">(2)</w:t>
      </w:r>
      <w:r xml:space="preserve">
        <w:t> </w:t>
      </w:r>
      <w:r xml:space="preserve">
        <w:t> </w:t>
      </w:r>
      <w:r>
        <w:t xml:space="preserve">the executive director of the Railroad Commission of Texas;</w:t>
      </w:r>
    </w:p>
    <w:p w:rsidR="003F3435" w:rsidRDefault="0032493E">
      <w:pPr>
        <w:spacing w:line="480" w:lineRule="auto"/>
        <w:ind w:firstLine="1440"/>
        <w:jc w:val="both"/>
      </w:pPr>
      <w:r>
        <w:t xml:space="preserve">(3)</w:t>
      </w:r>
      <w:r xml:space="preserve">
        <w:t> </w:t>
      </w:r>
      <w:r xml:space="preserve">
        <w:t> </w:t>
      </w:r>
      <w:r>
        <w:t xml:space="preserve">the president and the chief executive officer of the independent organization certified under Section 39.151 for the ERCOT power region;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public safety director of the Department of Public Safety; and</w:t>
      </w:r>
    </w:p>
    <w:p w:rsidR="003F3435" w:rsidRDefault="0032493E">
      <w:pPr>
        <w:spacing w:line="480" w:lineRule="auto"/>
        <w:ind w:firstLine="1440"/>
        <w:jc w:val="both"/>
      </w:pPr>
      <w:r>
        <w:rPr>
          <w:u w:val="single"/>
        </w:rPr>
        <w:t xml:space="preserve">(5)</w:t>
      </w:r>
      <w:r xml:space="preserve">
        <w:t> </w:t>
      </w:r>
      <w:r xml:space="preserve">
        <w:t> </w:t>
      </w:r>
      <w:r>
        <w:t xml:space="preserve">the chief of the Texas Division of Emergency Management.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38, Utilities Code, is amended by adding Section 38.205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w:t>
      </w:r>
      <w:r>
        <w:rPr>
          <w:u w:val="single"/>
        </w:rPr>
        <w:t xml:space="preserve"> </w:t>
      </w:r>
      <w:r>
        <w:rPr>
          <w:u w:val="single"/>
        </w:rPr>
        <w:t xml:space="preserve"> </w:t>
      </w:r>
      <w:r>
        <w:rPr>
          <w:u w:val="single"/>
        </w:rPr>
        <w:t xml:space="preserve">PHYSICAL SECURITY OF SUBSTATIONS.  (a) The commission shall require each electric cooperative, municipally owned utility, and transmission and distribution utility to include in the cooperative's or utility's emergency operations plan described by Section 186.007 information about the physical security of the cooperative's or utility's critical substations and contact information for each law enforcement agency with jurisdiction over the critical substations.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the Department of Public Safety with access to the information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provided to the commission or the Department of Public Safety under this section is confidential under Section 418.181, Government Code, and not subject to disclosure under Chapter 552,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