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88R12498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4958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workforce housing program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2306, Government Code, is amended by adding Section 2306.2595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2306.2595.</w:t>
      </w:r>
      <w:r>
        <w:rPr>
          <w:u w:val="single"/>
        </w:rPr>
        <w:t xml:space="preserve"> </w:t>
      </w:r>
      <w:r>
        <w:rPr>
          <w:u w:val="single"/>
        </w:rPr>
        <w:t xml:space="preserve"> </w:t>
      </w:r>
      <w:r>
        <w:rPr>
          <w:u w:val="single"/>
        </w:rPr>
        <w:t xml:space="preserve">WORKFORCE HOUSING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workforce housing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workforce housing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the workforce housing program to provide financial assistance to participating municipalities to facilitate the construction and rehabilitation of eligible workforce housing developments in those municipalities.  Financial assistance may be awarded from the fund described by Subsection (e) to eligible developments in the form of grants or low-interest loans for the purposes described by this section and must be prorated, to the extent practicable, according to the size of the participating municipality.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financial assistance awarded by a participating municipality under the program, a workforce housing development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consist of new construction or a substantial rehabilitation of an existing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reserve a specified percentage of the units in the development for occupancy of individuals and families earning: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30 percent of the area median income, adjusted for family size;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more than 120 percent of the area median income, adjusted for family size;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the affordability requirements described by Subdivision (2) for a period of not less than 20 years following the date of receipt of financial assistance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adopt rules to implement the program,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criteria for determining which municipalities may participate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percentage of units that a workforce housing development must reserve to satisfy the affordability requirements under Subsection (c)(2), to demonstrate eligibility for financial assistance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scoring system to be used by a municipality to prioritize developments that are eligible for financial assistance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workforce housing fund is a special account in the state treasury.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board for a purpose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repayment of principal and interest from loans made from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the board transfers to the fund from any available source;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depository interest allocable to the fund and other investment returns on money in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fees or sources of revenue that the legislature may dedicate for deposit to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Financial assistance provided from the fund to an eligible workforce housing development must be spent by the recipient on the development not later than 36 months after the date the assistance is received.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provided from the fund that is not spent as required by Subsection (f) must be returned to the department and deposited to the credit of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