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4967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including assessment of academic skills, performance standards and sanctions, and public high school graduation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 Education Code, is amended by amending subsection (c)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indicator that accounts for the number of students who participate in and successfully complete courses in the enrichment curriculum under Section 28.002(a)(2); and</w:t>
      </w:r>
    </w:p>
    <w:p w:rsidR="003F3435" w:rsidRDefault="0032493E">
      <w:pPr>
        <w:spacing w:line="480" w:lineRule="auto"/>
        <w:ind w:firstLine="2160"/>
        <w:jc w:val="both"/>
      </w:pPr>
      <w:r>
        <w:rPr>
          <w:u w:val="single"/>
        </w:rPr>
        <w:t xml:space="preserve">(A-1)</w:t>
      </w:r>
      <w:r>
        <w:rPr>
          <w:u w:val="single"/>
        </w:rPr>
        <w:t xml:space="preserve"> </w:t>
      </w:r>
      <w:r>
        <w:rPr>
          <w:u w:val="single"/>
        </w:rPr>
        <w:t xml:space="preserve"> </w:t>
      </w:r>
      <w:r>
        <w:rPr>
          <w:u w:val="single"/>
        </w:rPr>
        <w:t xml:space="preserve">for evaluating the performance of elementary and middle school campuses, indicators that account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students in grades six, seven, and eight who successfully complete and receive credit for a course designated for a grade higher than the grade in which the student is enrolled;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students in grades six, seven, and eight, who successfully complete a career and technology course under Section 48.106;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 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w:t>
      </w:r>
      <w:r>
        <w:rPr>
          <w:strike/>
        </w:rPr>
        <w:t xml:space="preserve">and</w:t>
      </w:r>
      <w:r>
        <w:t xml:space="preserve">]</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 </w:t>
      </w:r>
      <w:r>
        <w:rPr>
          <w:u w:val="single"/>
        </w:rPr>
        <w:t xml:space="preserve">and</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students who successfully complete at least one endorsement under Section 28.025(c-1); and</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students who earn micro-credentials or credentials of value as defined by the State Board of Education; and</w:t>
      </w:r>
    </w:p>
    <w:p w:rsidR="003F3435" w:rsidRDefault="0032493E">
      <w:pPr>
        <w:spacing w:line="480" w:lineRule="auto"/>
        <w:ind w:firstLine="1440"/>
        <w:jc w:val="both"/>
      </w:pPr>
      <w:r>
        <w:t xml:space="preserve">(2) 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w:t>
      </w:r>
      <w:r>
        <w:rPr>
          <w:u w:val="single"/>
        </w:rPr>
        <w:t xml:space="preserve">:</w:t>
      </w:r>
      <w:r>
        <w:t xml:space="preserve"> [</w:t>
      </w:r>
      <w:r>
        <w:rPr>
          <w:strike/>
        </w:rPr>
        <w:t xml:space="preserve">,</w:t>
      </w:r>
      <w: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use of disaggregated data to demonstrate the differentials among students from different racial and ethnic groups, socioeconomic backgrounds, and other factors,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students formerly receiving special education services;</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students continuously enrolled; and</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students who are mobile</w:t>
      </w:r>
      <w:r>
        <w:rPr>
          <w:u w:val="single"/>
        </w:rPr>
        <w:t xml:space="preserve">; and</w:t>
      </w:r>
      <w:r>
        <w:t xml:space="preserve"> [</w:t>
      </w:r>
      <w:r>
        <w:rPr>
          <w:strike/>
        </w:rPr>
        <w:t xml:space="preserv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evaluating the performance of elementary and middle school campuses, the commissioner shall use indicators as defined in Subsection (c)(1)(A)(iii)-(vi) and (A-1), for the School Quality component.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