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Gamez</w:t>
      </w:r>
      <w:r xml:space="preserve">
        <w:tab wTab="150" tlc="none" cTlc="0"/>
      </w:r>
      <w:r>
        <w:t xml:space="preserve">H.B.</w:t>
      </w:r>
      <w:r xml:space="preserve">
        <w:t> </w:t>
      </w:r>
      <w:r>
        <w:t xml:space="preserve">No.</w:t>
      </w:r>
      <w:r xml:space="preserve">
        <w:t> </w:t>
      </w:r>
      <w:r>
        <w:t xml:space="preserve">4973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federal firearm reporting for a person who has been released from an emergency detention.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411.052,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"federal prohibited person information" means information that identifies an individual as:</w:t>
      </w:r>
    </w:p>
    <w:p w:rsidR="003F3435" w:rsidRDefault="0032493E">
      <w:pPr>
        <w:spacing w:line="480" w:lineRule="auto"/>
        <w:ind w:firstLine="1440"/>
        <w:jc w:val="both"/>
      </w:pPr>
      <w:r>
        <w:t xml:space="preserve">(1)</w:t>
      </w:r>
      <w:r xml:space="preserve">
        <w:t> </w:t>
      </w:r>
      <w:r xml:space="preserve">
        <w:t> </w:t>
      </w:r>
      <w:r>
        <w:t xml:space="preserve">a person ordered by a court to receive inpatient mental health services under Chapter 574, Health and Safety Code;</w:t>
      </w:r>
    </w:p>
    <w:p w:rsidR="003F3435" w:rsidRDefault="0032493E">
      <w:pPr>
        <w:spacing w:line="480" w:lineRule="auto"/>
        <w:ind w:firstLine="1440"/>
        <w:jc w:val="both"/>
      </w:pPr>
      <w:r>
        <w:t xml:space="preserve">(2)</w:t>
      </w:r>
      <w:r xml:space="preserve">
        <w:t> </w:t>
      </w:r>
      <w:r xml:space="preserve">
        <w:t> </w:t>
      </w:r>
      <w:r>
        <w:t xml:space="preserve">a person acquitted in a criminal case by reason of insanity or lack of mental responsibility, regardless of whether the person is ordered by a court to receive inpatient treatment or residential care under Chapter 46C, Code of Criminal Procedure;</w:t>
      </w:r>
    </w:p>
    <w:p w:rsidR="003F3435" w:rsidRDefault="0032493E">
      <w:pPr>
        <w:spacing w:line="480" w:lineRule="auto"/>
        <w:ind w:firstLine="1440"/>
        <w:jc w:val="both"/>
      </w:pPr>
      <w:r>
        <w:t xml:space="preserve">(3)</w:t>
      </w:r>
      <w:r xml:space="preserve">
        <w:t> </w:t>
      </w:r>
      <w:r xml:space="preserve">
        <w:t> </w:t>
      </w:r>
      <w:r>
        <w:t xml:space="preserve">a person determined to have mental retardation and committed by a court for long-term placement in a residential care facility under Chapter 593, Health and Safety Code;</w:t>
      </w:r>
    </w:p>
    <w:p w:rsidR="003F3435" w:rsidRDefault="0032493E">
      <w:pPr>
        <w:spacing w:line="480" w:lineRule="auto"/>
        <w:ind w:firstLine="1440"/>
        <w:jc w:val="both"/>
      </w:pPr>
      <w:r>
        <w:t xml:space="preserve">(4)</w:t>
      </w:r>
      <w:r xml:space="preserve">
        <w:t> </w:t>
      </w:r>
      <w:r xml:space="preserve">
        <w:t> </w:t>
      </w:r>
      <w:r>
        <w:t xml:space="preserve">an incapacitated adult individual for whom a court has appointed a guardian of the individual under Chapter XIII, Probate Code, based on the determination that the person lacks the mental capacity to manage the person's affairs;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person determined to be incompetent to stand trial under Chapter 46B, Code of Criminal Procedure</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person within the last 30 days has been released from an emergency detention under Chapter 573, Health and Safety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573.0022, Health and Safety Code, is added to read as follows: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As soon as practicable, but not later than the first working day after the date a peace officer takes a person who is a ward into custody, the peace officer shall provide the information on the person subject to the emergency detention to the Federal Bureau of Investigation for use with the National Instant Criminal Background Check System.  Except as otherwise provided by state law, the department may disseminate information under this subsection regarding a person subject to the emergency detention under this subchapter only to the extent necessary to allow the Federal Bureau of Investigation to collect and maintain a list of persons who are prohibited under federal law from engaging in certain activities with respect to a firearm.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grant access to the information under this section to the person who is the subject of the information.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maintained by the department regarding a person who is subject to the emergency detention under this subchapter is confidential information for the use of the department and, except as otherwise provided by this section and other state law, may not be disseminated by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by rule shall establish a procedure to correct department records to reflect the date of any person who has been released from emergency detention under this subchapter and a procedure to transmit the corrected records to the Federal Bureau of Investigation.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573.025, Health and Safety Code, is amended to read as follows:</w:t>
      </w:r>
    </w:p>
    <w:p w:rsidR="003F3435" w:rsidRDefault="0032493E">
      <w:pPr>
        <w:spacing w:line="480" w:lineRule="auto"/>
        <w:ind w:firstLine="720"/>
        <w:jc w:val="both"/>
      </w:pPr>
      <w:r>
        <w:t xml:space="preserve">Sec.</w:t>
      </w:r>
      <w:r xml:space="preserve">
        <w:t> </w:t>
      </w:r>
      <w:r>
        <w:t xml:space="preserve">573.025.</w:t>
      </w:r>
      <w:r xml:space="preserve">
        <w:t> </w:t>
      </w:r>
      <w:r xml:space="preserve">
        <w:t> </w:t>
      </w:r>
      <w:r>
        <w:t xml:space="preserve">RIGHTS OF PERSONS APPREHENDED, DETAINED, OR TRANSPORTED FOR EMERGENCY DETENTION.  (a)  A person apprehended, detained, or transported for emergency detention under this chapter has the right:</w:t>
      </w:r>
    </w:p>
    <w:p w:rsidR="003F3435" w:rsidRDefault="0032493E">
      <w:pPr>
        <w:spacing w:line="480" w:lineRule="auto"/>
        <w:ind w:firstLine="1440"/>
        <w:jc w:val="both"/>
      </w:pPr>
      <w:r>
        <w:t xml:space="preserve">(1)</w:t>
      </w:r>
      <w:r xml:space="preserve">
        <w:t> </w:t>
      </w:r>
      <w:r xml:space="preserve">
        <w:t> </w:t>
      </w:r>
      <w:r>
        <w:t xml:space="preserve">to be advised of the location of detention, the reasons for the detention, and the fact that the detention could result in a longer period of involuntary commitment;</w:t>
      </w:r>
    </w:p>
    <w:p w:rsidR="003F3435" w:rsidRDefault="0032493E">
      <w:pPr>
        <w:spacing w:line="480" w:lineRule="auto"/>
        <w:ind w:firstLine="1440"/>
        <w:jc w:val="both"/>
      </w:pPr>
      <w:r>
        <w:t xml:space="preserve">(2)</w:t>
      </w:r>
      <w:r xml:space="preserve">
        <w:t> </w:t>
      </w:r>
      <w:r xml:space="preserve">
        <w:t> </w:t>
      </w:r>
      <w:r>
        <w:t xml:space="preserve">to a reasonable opportunity to communicate with and retain an attorney;</w:t>
      </w:r>
    </w:p>
    <w:p w:rsidR="003F3435" w:rsidRDefault="0032493E">
      <w:pPr>
        <w:spacing w:line="480" w:lineRule="auto"/>
        <w:ind w:firstLine="1440"/>
        <w:jc w:val="both"/>
      </w:pPr>
      <w:r>
        <w:t xml:space="preserve">(3)</w:t>
      </w:r>
      <w:r xml:space="preserve">
        <w:t> </w:t>
      </w:r>
      <w:r xml:space="preserve">
        <w:t> </w:t>
      </w:r>
      <w:r>
        <w:t xml:space="preserve">to be transported to a location as provided by Section 573.024 if the person is not admitted for emergency detention, unless the person is arrested or objects;</w:t>
      </w:r>
    </w:p>
    <w:p w:rsidR="003F3435" w:rsidRDefault="0032493E">
      <w:pPr>
        <w:spacing w:line="480" w:lineRule="auto"/>
        <w:ind w:firstLine="1440"/>
        <w:jc w:val="both"/>
      </w:pPr>
      <w:r>
        <w:t xml:space="preserve">(4)</w:t>
      </w:r>
      <w:r xml:space="preserve">
        <w:t> </w:t>
      </w:r>
      <w:r xml:space="preserve">
        <w:t> </w:t>
      </w:r>
      <w:r>
        <w:t xml:space="preserve">to be released from a facility as provided by Section 573.023;</w:t>
      </w:r>
    </w:p>
    <w:p w:rsidR="003F3435" w:rsidRDefault="0032493E">
      <w:pPr>
        <w:spacing w:line="480" w:lineRule="auto"/>
        <w:ind w:firstLine="1440"/>
        <w:jc w:val="both"/>
      </w:pPr>
      <w:r>
        <w:t xml:space="preserve">(5)</w:t>
      </w:r>
      <w:r xml:space="preserve">
        <w:t> </w:t>
      </w:r>
      <w:r xml:space="preserve">
        <w:t> </w:t>
      </w:r>
      <w:r>
        <w:t xml:space="preserve">to be advised that communications with a mental health professional may be used in proceedings for further detention;</w:t>
      </w:r>
    </w:p>
    <w:p w:rsidR="003F3435" w:rsidRDefault="0032493E">
      <w:pPr>
        <w:spacing w:line="480" w:lineRule="auto"/>
        <w:ind w:firstLine="1440"/>
        <w:jc w:val="both"/>
      </w:pPr>
      <w:r>
        <w:t xml:space="preserve">(6)</w:t>
      </w:r>
      <w:r xml:space="preserve">
        <w:t> </w:t>
      </w:r>
      <w:r xml:space="preserve">
        <w:t> </w:t>
      </w:r>
      <w:r>
        <w:t xml:space="preserve">to be transported in accordance with Sections 573.026 and 574.045, if the person is detained under Section 573.022 or transported under an order of protective custody under Section 574.023;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to a reasonable opportunity to communicate with a relative or other responsible person who has a proper interest in the person's welfare</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be advised that their ability to purchase a firearm upon discharge will be prohibited for 30 days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573.027, Health and Safety Code, is added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573.027.</w:t>
      </w:r>
      <w:r>
        <w:rPr>
          <w:u w:val="single"/>
        </w:rPr>
        <w:t xml:space="preserve"> </w:t>
      </w:r>
      <w:r>
        <w:rPr>
          <w:u w:val="single"/>
        </w:rPr>
        <w:t xml:space="preserve"> </w:t>
      </w:r>
      <w:r>
        <w:rPr>
          <w:u w:val="single"/>
        </w:rPr>
        <w:t xml:space="preserve">NOTIFICATION OF DEPARTMENT OF PUBLIC SAFETY.  (a)  In this section, "department" means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Upon release under Section 573.023, the facility shall prepare and forward to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complete name, race, and sex of the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known identifying number of the person, including the person's social security number, driver's license number, or state identification number;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person's date of birth;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statement that the facility has released the person pursuant to Section 573.023.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practicable, the facility shall forward to the department the information described by Subsection (b) in an electronic format prescribed by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by rule shall establish a procedure to provide the information submitted by the facility under this section regarding release from emergency detention to the Federal Bureau of Investigation for use with the National Instant Criminal Background Check System.  Except as otherwise provided by state law, the department may disseminate information under this subsection regarding a person who has been released from emergency detention under this subchapter only to the extent necessary to allow the Federal Bureau of Investigation to collect and maintain a list of persons who are prohibited under federal law from engaging in certain activities with respect to a firearm.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grant access to the information under this section to the person who is the subject of the information.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Information maintained by the department regarding a person who has been released from emergency detention under this subchapter is confidential information for the use of the department and, except as otherwise provided by this section and other state law, may not be disseminated by the department.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department by rule shall establish a procedure to correct department records to reflect the date of any person who has been released from emergency detention under this subchapter and a procedure to transmit the corrected records to the Federal Bureau of Investigation.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