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88R9376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county platting requirements for certain large 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232.0015(f),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may not require the owner of a tract of land located outside the limits of a municipality who divides the tract into two or more parts to have a plat of the subdivision prepared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of the lots of the subdivision are more than </w:t>
      </w:r>
      <w:r>
        <w:rPr>
          <w:u w:val="single"/>
        </w:rPr>
        <w:t xml:space="preserve">25</w:t>
      </w:r>
      <w:r>
        <w:t xml:space="preserve"> [</w:t>
      </w:r>
      <w:r>
        <w:rPr>
          <w:strike/>
        </w:rPr>
        <w:t xml:space="preserve">10</w:t>
      </w:r>
      <w:r>
        <w:t xml:space="preserve">] acres in area;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does not lay out a part of the tract described by Section 232.001(a)(3).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