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4976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Middle Rio Grande Regional Mobility Authority;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370, Transportation Code, is amended by adding Subchapter L to read as follows:</w:t>
      </w:r>
    </w:p>
    <w:p w:rsidR="003F3435" w:rsidRDefault="0032493E">
      <w:pPr>
        <w:spacing w:line="480" w:lineRule="auto"/>
        <w:jc w:val="center"/>
      </w:pPr>
      <w:r>
        <w:rPr>
          <w:u w:val="single"/>
        </w:rPr>
        <w:t xml:space="preserve">SUBCHAPTER L.  MIDDLE RIO GRANDE REGIONAL MOBILITY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370.451.</w:t>
      </w:r>
      <w:r>
        <w:rPr>
          <w:u w:val="single"/>
        </w:rPr>
        <w:t xml:space="preserve"> </w:t>
      </w:r>
      <w:r>
        <w:rPr>
          <w:u w:val="single"/>
        </w:rPr>
        <w:t xml:space="preserve"> </w:t>
      </w:r>
      <w:r>
        <w:rPr>
          <w:u w:val="single"/>
        </w:rPr>
        <w:t xml:space="preserve">DEFINITION.  In this subchapter, "member county" means a county located in the territory of the Middle Rio Grande Regional Mobility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370.452.</w:t>
      </w:r>
      <w:r>
        <w:rPr>
          <w:u w:val="single"/>
        </w:rPr>
        <w:t xml:space="preserve"> </w:t>
      </w:r>
      <w:r>
        <w:rPr>
          <w:u w:val="single"/>
        </w:rPr>
        <w:t xml:space="preserve"> </w:t>
      </w:r>
      <w:r>
        <w:rPr>
          <w:u w:val="single"/>
        </w:rPr>
        <w:t xml:space="preserve">NATURE OF AUTHORITY.  (a)  The Middle Rio Grande Regional Mobility Authority is an authority organized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of this chapter that requires the commission to approve the creation of an authority does not apply to the Middle Rio Grande Regional Mobility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370.453.</w:t>
      </w:r>
      <w:r>
        <w:rPr>
          <w:u w:val="single"/>
        </w:rPr>
        <w:t xml:space="preserve"> </w:t>
      </w:r>
      <w:r>
        <w:rPr>
          <w:u w:val="single"/>
        </w:rPr>
        <w:t xml:space="preserve"> </w:t>
      </w:r>
      <w:r>
        <w:rPr>
          <w:u w:val="single"/>
        </w:rPr>
        <w:t xml:space="preserve">CONFLICTS WITH OTHER SUBCHAPTERS.  In the case of a conflict between this subchapter and other provisions of this chapter or other law governing regional mobility authorities, this subchapter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370.454.</w:t>
      </w:r>
      <w:r>
        <w:rPr>
          <w:u w:val="single"/>
        </w:rPr>
        <w:t xml:space="preserve"> </w:t>
      </w:r>
      <w:r>
        <w:rPr>
          <w:u w:val="single"/>
        </w:rPr>
        <w:t xml:space="preserve"> </w:t>
      </w:r>
      <w:r>
        <w:rPr>
          <w:u w:val="single"/>
        </w:rPr>
        <w:t xml:space="preserve">MEMBER COUNTIES.  (a)  The Middle Rio Grande Regional Mobility Authority initially includes the following counties: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Dimmit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Frio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Kinney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Maverick County;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Uvalde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Val Verde County;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Zavala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be added to or withdrawn from the Middle  Rio Grande Regional Mobility Authority in the manner provided by Section 370.0315.</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370.455.</w:t>
      </w:r>
      <w:r>
        <w:rPr>
          <w:u w:val="single"/>
        </w:rPr>
        <w:t xml:space="preserve"> </w:t>
      </w:r>
      <w:r>
        <w:rPr>
          <w:u w:val="single"/>
        </w:rPr>
        <w:t xml:space="preserve"> </w:t>
      </w:r>
      <w:r>
        <w:rPr>
          <w:u w:val="single"/>
        </w:rPr>
        <w:t xml:space="preserve">BOARD OF DIRECTORS; TERMS.  (a)  The governing body of the Middle Rio Grande Regional Mobility Authority is a board of directors consisting of a representative of each member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each member county shall appoint one director to serve on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elect either the director representing Maverick County or the director representing Val Verde County as the presiding officer.  A director may not serve as presiding officer for more than two consecutive years. </w:t>
      </w:r>
      <w:r>
        <w:rPr>
          <w:u w:val="single"/>
        </w:rPr>
        <w:t xml:space="preserve"> </w:t>
      </w:r>
      <w:r>
        <w:rPr>
          <w:u w:val="single"/>
        </w:rPr>
        <w:t xml:space="preserve">If the director positions representing Maverick County and Val Verde County are vacant simultaneously, the board may choose a presiding officer representing another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Directors serve two-year terms, with as near as possible  to one-half of the directors' terms expiring on February 1 of each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370.456.</w:t>
      </w:r>
      <w:r>
        <w:rPr>
          <w:u w:val="single"/>
        </w:rPr>
        <w:t xml:space="preserve"> </w:t>
      </w:r>
      <w:r>
        <w:rPr>
          <w:u w:val="single"/>
        </w:rPr>
        <w:t xml:space="preserve"> </w:t>
      </w:r>
      <w:r>
        <w:rPr>
          <w:u w:val="single"/>
        </w:rPr>
        <w:t xml:space="preserve">INITIAL DIRECTORS.  (a)  Of the initial directors, the terms of directors appointed to represent Dimmit County, Kinney County, Uvalde County, and Zavala County expire February 1, 2023, and the terms of directors appointed to represent the remaining member counties expire February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370.455(d) does not apply to an initial director.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502.402(a) and (b-1),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the United Mexican States; and</w:t>
      </w:r>
    </w:p>
    <w:p w:rsidR="003F3435" w:rsidRDefault="0032493E">
      <w:pPr>
        <w:spacing w:line="480" w:lineRule="auto"/>
        <w:ind w:firstLine="2160"/>
        <w:jc w:val="both"/>
      </w:pPr>
      <w:r>
        <w:t xml:space="preserve">(B)</w:t>
      </w:r>
      <w:r xml:space="preserve">
        <w:t> </w:t>
      </w:r>
      <w:r xml:space="preserve">
        <w:t> </w:t>
      </w:r>
      <w:r>
        <w:t xml:space="preserve">has a population of more than 250,000;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county that has a population of more than 1.5 million that is coterminous with a regional mobility authority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county of the Middle Rio Grande Regional Mobility Authority, as established under Subchapter L, Chapter 370</w:t>
      </w:r>
      <w:r>
        <w:t xml:space="preserve">.</w:t>
      </w:r>
    </w:p>
    <w:p w:rsidR="003F3435" w:rsidRDefault="0032493E">
      <w:pPr>
        <w:spacing w:line="480" w:lineRule="auto"/>
        <w:ind w:firstLine="720"/>
        <w:jc w:val="both"/>
      </w:pPr>
      <w:r>
        <w:t xml:space="preserve">(b-1)</w:t>
      </w:r>
      <w:r xml:space="preserve">
        <w:t> </w:t>
      </w:r>
      <w:r xml:space="preserve">
        <w:t> </w:t>
      </w:r>
      <w:r>
        <w:t xml:space="preserve">The commissioners court of a county described by Subsection </w:t>
      </w:r>
      <w:r>
        <w:rPr>
          <w:u w:val="single"/>
        </w:rPr>
        <w:t xml:space="preserve">(a)(1) or (2)</w:t>
      </w:r>
      <w:r>
        <w:t xml:space="preserve"> [</w:t>
      </w:r>
      <w:r>
        <w:rPr>
          <w:strike/>
        </w:rPr>
        <w:t xml:space="preserve">(a)</w:t>
      </w:r>
      <w:r>
        <w:t xml:space="preserve">] with a population of less than 700,000 may increase the additional fee to an amount that does not exceed $20 if approved by a majority of the qualified voters of the county voting on the issue at a referendum election, which the commissioners court may order and hold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87th Legislature, Regular Session, 2021, to authorize the creation of a regional mobility authority by local law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