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88R17640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4977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open-enrollment charter schools, including enrollment procedures and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12.117, Education Code, is amended to read as follows:</w:t>
      </w:r>
    </w:p>
    <w:p w:rsidR="003F3435" w:rsidRDefault="0032493E">
      <w:pPr>
        <w:spacing w:line="480" w:lineRule="auto"/>
        <w:ind w:firstLine="720"/>
        <w:jc w:val="both"/>
      </w:pPr>
      <w:r>
        <w:t xml:space="preserve">Sec.</w:t>
      </w:r>
      <w:r xml:space="preserve">
        <w:t> </w:t>
      </w:r>
      <w:r>
        <w:t xml:space="preserve">12.117.</w:t>
      </w:r>
      <w:r xml:space="preserve">
        <w:t> </w:t>
      </w:r>
      <w:r xml:space="preserve">
        <w:t> </w:t>
      </w:r>
      <w:r>
        <w:t xml:space="preserve">ADMISSION </w:t>
      </w:r>
      <w:r>
        <w:rPr>
          <w:u w:val="single"/>
        </w:rPr>
        <w:t xml:space="preserve">AND ENROLLMENT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12.117, Education Code, is amended by amending Subsection (a) and adding Subsections (a-1), (a-2), (a-3), and (b-1) to read as follows:</w:t>
      </w:r>
    </w:p>
    <w:p w:rsidR="003F3435" w:rsidRDefault="0032493E">
      <w:pPr>
        <w:spacing w:line="480" w:lineRule="auto"/>
        <w:ind w:firstLine="720"/>
        <w:jc w:val="both"/>
      </w:pPr>
      <w:r>
        <w:t xml:space="preserve">(a)</w:t>
      </w:r>
      <w:r xml:space="preserve">
        <w:t> </w:t>
      </w:r>
      <w:r xml:space="preserve">
        <w:t> </w:t>
      </w:r>
      <w:r>
        <w:t xml:space="preserve">For admission </w:t>
      </w:r>
      <w:r>
        <w:rPr>
          <w:u w:val="single"/>
        </w:rPr>
        <w:t xml:space="preserve">and enrollment</w:t>
      </w:r>
      <w:r>
        <w:t xml:space="preserve"> to an open-enrollment charter school, the governing body of the school shall:</w:t>
      </w:r>
    </w:p>
    <w:p w:rsidR="003F3435" w:rsidRDefault="0032493E">
      <w:pPr>
        <w:spacing w:line="480" w:lineRule="auto"/>
        <w:ind w:firstLine="1440"/>
        <w:jc w:val="both"/>
      </w:pPr>
      <w:r>
        <w:t xml:space="preserve">(1)</w:t>
      </w:r>
      <w:r xml:space="preserve">
        <w:t> </w:t>
      </w:r>
      <w:r xml:space="preserve">
        <w:t> </w:t>
      </w:r>
      <w:r>
        <w:t xml:space="preserve">require the applicant to complete and submit the common admission application form described by Section 12.1173 not later than a reasonable deadline the school establishes; and</w:t>
      </w:r>
    </w:p>
    <w:p w:rsidR="003F3435" w:rsidRDefault="0032493E">
      <w:pPr>
        <w:spacing w:line="480" w:lineRule="auto"/>
        <w:ind w:firstLine="1440"/>
        <w:jc w:val="both"/>
      </w:pPr>
      <w:r>
        <w:t xml:space="preserve">(2)</w:t>
      </w:r>
      <w:r xml:space="preserve">
        <w:t> </w:t>
      </w:r>
      <w:r xml:space="preserve">
        <w:t> </w:t>
      </w:r>
      <w:r>
        <w:t xml:space="preserve">on receipt of more acceptable applications for admission under this section than available positions in </w:t>
      </w:r>
      <w:r>
        <w:rPr>
          <w:u w:val="single"/>
        </w:rPr>
        <w:t xml:space="preserve">a grade level or campus</w:t>
      </w:r>
      <w:r>
        <w:t xml:space="preserve"> [</w:t>
      </w:r>
      <w:r>
        <w:rPr>
          <w:strike/>
        </w:rPr>
        <w:t xml:space="preserve">the school</w:t>
      </w:r>
      <w:r>
        <w:t xml:space="preserve">]:</w:t>
      </w:r>
    </w:p>
    <w:p w:rsidR="003F3435" w:rsidRDefault="0032493E">
      <w:pPr>
        <w:spacing w:line="480" w:lineRule="auto"/>
        <w:ind w:firstLine="2160"/>
        <w:jc w:val="both"/>
      </w:pPr>
      <w:r>
        <w:t xml:space="preserve">(A)</w:t>
      </w:r>
      <w:r xml:space="preserve">
        <w:t> </w:t>
      </w:r>
      <w:r xml:space="preserve">
        <w:t> </w:t>
      </w:r>
      <w:r>
        <w:t xml:space="preserve">fill the available positions by lottery; or</w:t>
      </w:r>
    </w:p>
    <w:p w:rsidR="003F3435" w:rsidRDefault="0032493E">
      <w:pPr>
        <w:spacing w:line="480" w:lineRule="auto"/>
        <w:ind w:firstLine="2160"/>
        <w:jc w:val="both"/>
      </w:pPr>
      <w:r>
        <w:t xml:space="preserve">(B)</w:t>
      </w:r>
      <w:r xml:space="preserve">
        <w:t> </w:t>
      </w:r>
      <w:r xml:space="preserve">
        <w:t> </w:t>
      </w:r>
      <w:r>
        <w:t xml:space="preserve">subject to Subsection (b), fill the available positions in the order in which applications received before the application deadline were received.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open-enrollment charter school that fills available positions by lottery under Subsection (a)(2)(A) may use a weighted lottery that assigns weights to applicants so that an applicant's probability of admission increases if the applicant satisfies criteria selected by the school. The school may increase an applicant's probability of admission if the applicant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to participate in a special education program under Section 29.003;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of limited English proficiency, as defined by Section 29.052;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educationally disadvantaged.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commissioner shall adopt rules regarding the implementation of a weighted lottery under Subsection (a-1),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information an open-enrollment charter school may request an applicant to provide that is limited in scope to only the information necessary for the school to implement the lottery;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compliance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law regarding the confidentiality of student medical or educational information, including the Health Insurance Portability and Accountability Act of 1996 (42 U.S.C. Section 1320d et seq.) and the Family Educational Rights and Privacy Act of 1974 (20 U.S.C. Section 1232g);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state law relating to the privacy of student information.</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open-enrollment charter school that uses a weighted lottery under Subsection (a-1)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school's admission and enrollment policy the information requested under Subsection (a-2)(1) that the school uses for the lottery;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notice of the information requested of an applicant under Subsection (a-2)(1) only if the school receives more acceptable applications for admission than available positions in the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clearly mark all information requested under Subdivision (2) as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any information provided by an applicant under Subdivision (2) only to determine if the applicant's probability of admission will increase in accordance with Subsection (a-1).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open-enrollment charter school shall make publicly available and post in a prominent and appropriate location on the school's public Internet website, if the school maintains a public Internet website, notice of the school's admission and enrollment policy,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by which the school fills available positions in the school, including whether the school uses: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lottery;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weighted lottery;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school fills available positions by weighted lottery under Subsection (a-1), the weights assigned to applicants under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12.104, Education Code, is amended by amending Subsection (b)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p>
    <w:p w:rsidR="003F3435" w:rsidRDefault="0032493E">
      <w:pPr>
        <w:spacing w:line="480" w:lineRule="auto"/>
        <w:ind w:firstLine="2160"/>
        <w:jc w:val="both"/>
      </w:pPr>
      <w:r>
        <w:t xml:space="preserve">(X)</w:t>
      </w:r>
      <w:r xml:space="preserve">
        <w:t> </w:t>
      </w:r>
      <w:r xml:space="preserve">
        <w:t> </w:t>
      </w:r>
      <w:r>
        <w:t xml:space="preserve">parental options to retain a student under Section 28.02124</w:t>
      </w:r>
      <w:r>
        <w:rPr>
          <w:strike/>
        </w:rPr>
        <w:t xml:space="preserve">.</w:t>
      </w:r>
      <w:r>
        <w:rPr>
          <w:u w:val="single"/>
        </w:rPr>
        <w:t xml:space="preserve">; and</w:t>
      </w:r>
    </w:p>
    <w:p w:rsidR="003F3435" w:rsidRDefault="0032493E">
      <w:pPr>
        <w:spacing w:line="480" w:lineRule="auto"/>
        <w:ind w:firstLine="2160"/>
        <w:jc w:val="both"/>
      </w:pPr>
      <w:r>
        <w:rPr>
          <w:u w:val="single"/>
        </w:rPr>
        <w:t xml:space="preserve">(Y)</w:t>
      </w:r>
      <w:r>
        <w:rPr>
          <w:u w:val="single"/>
        </w:rPr>
        <w:t xml:space="preserve"> </w:t>
      </w:r>
      <w:r>
        <w:rPr>
          <w:u w:val="single"/>
        </w:rPr>
        <w:t xml:space="preserve"> </w:t>
      </w:r>
      <w:r>
        <w:rPr>
          <w:u w:val="single"/>
        </w:rPr>
        <w:t xml:space="preserve">technology and student information protection requirements under Chapter 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12.1058, Education Code, is amended by amending Subsection (c) and adding Subsections (d), (d-1), (d-2), (d-3), and (d-4)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An open-enrollment charter school does not have the power of eminent domain.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Except as provided by this section, this section does not affect the authority granted by state law to a political subdivision to regulate an open-enrollment charter school regarding health and safety ordinances.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In this section, "political subdivision" does not include a school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