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88R10685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4988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national criminal history reviews of a member of a board of trustees of an independent school district;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11, Education Code, is amended by adding Sections 11.0561 and 11.067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11.0561.</w:t>
      </w:r>
      <w:r>
        <w:rPr>
          <w:u w:val="single"/>
        </w:rPr>
        <w:t xml:space="preserve"> </w:t>
      </w:r>
      <w:r>
        <w:rPr>
          <w:u w:val="single"/>
        </w:rPr>
        <w:t xml:space="preserve"> </w:t>
      </w:r>
      <w:r>
        <w:rPr>
          <w:u w:val="single"/>
        </w:rPr>
        <w:t xml:space="preserve">NATIONAL CRIMINAL HISTORY RECORD INFORMATION REVIEW OF MEMBER OF BOARD OF TRUSTEES. </w:t>
      </w:r>
      <w:r>
        <w:rPr>
          <w:u w:val="single"/>
        </w:rPr>
        <w:t xml:space="preserve"> </w:t>
      </w:r>
      <w:r>
        <w:rPr>
          <w:u w:val="single"/>
        </w:rPr>
        <w:t xml:space="preserve">(a) In this section, "national criminal history record information" has the meaning assigned by Section 22.081.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a board of trustees of a school district must submit to a national criminal history record information review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send, or ensure that each member of the board of trustees sends, to the Department of Public Safety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obtain the member's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shall obtain all criminal history record information of each person serving as a member of the board of trustees of the district through the criminal history clearinghouse as provided by Section 411.0845, Government Code, to confirm the person's eligibility for office under Sections 11.061 and 11.066 and to determine whether the person is prohibited from engaging in certain conduct under Section 11.067. Notwithstanding Section 411.097(d), Government Code, a district shall maintain a record of information received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shall submit all criminal history record information obtained under Subsection (e) to the agency. The agency shall maintain a record of all information received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require a person submitting to a national criminal history record information review under this section to pay a fee related to obtaining criminal history record information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adopt rules to implement this section, including rules establishing deadlines after election for a school district to require a member of a board of trustees to submit fingerprints and photographs in compliance with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a school district, or an employee of the district's board is not civilly or criminally liable for making or receiving a report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11.067.</w:t>
      </w:r>
      <w:r>
        <w:rPr>
          <w:u w:val="single"/>
        </w:rPr>
        <w:t xml:space="preserve"> </w:t>
      </w:r>
      <w:r>
        <w:rPr>
          <w:u w:val="single"/>
        </w:rPr>
        <w:t xml:space="preserve"> </w:t>
      </w:r>
      <w:r>
        <w:rPr>
          <w:u w:val="single"/>
        </w:rPr>
        <w:t xml:space="preserve">CERTAIN CONDUCT PROHIBITED BY TRUSTEE CONVICTED OF CERTAIN OFFENSES.  (a) 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punishable as a misdemeanor under the following provisions of the Penal Code:</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20.02 (unlawful restraint);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21.07 (public lewdness);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21.08 (indecent exposure);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22.01(a)(1) (assault);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22.012 (indecent assault);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Section 22.05 (deadly conduct);</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25.04 (enticing a child);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Section 25.07 (violation of certain court orders or conditions of bond in a family violence, child abuse or neglect, sexual assault or abuse, indecent assault, stalking, or trafficking case);</w:t>
      </w:r>
      <w:r>
        <w:t xml:space="preserve"> </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Section 43.22 (obscene display or distribution);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Section 43.23 (obscenity);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Section 43.24 (sale, distribution, or display of harmful material to minor);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Section 43.261 (electronic transmission of certain visual material depicting minor);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attempt or conspiracy to commit an offense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offense involving family violence, as defined by Section 71.004,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board of trustees of a school district who has been convicted of an offense to which this section applies may not, while engaged in official duties as a member of the board of trustees, enter a campus of the district or attend an activity sponsored or sanctioned by the district.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411.097,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is entitled to obtain from the department criminal history record information maintained by the department that the district is required or authorized to obtain under Section 11.0561, Education Code, that relates to a member of the district's board of trustees.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