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2023S0251-1  03/06/23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4991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platting and subdivisions of land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The governing body of a municipality by ordinance may extend to the extraterritorial jurisdiction of the municipality the application of municipal ordinances adopted under Section 212.002 and other municipal ordinances relating to access to public roads or the pumping, extraction, and use of groundwater by persons other than retail public utilities, as defined by Section 13.002, Water Code, for the purpose of preventing the use or contact with groundwater that presents an actual or potential threat to human health.  However, unless otherwise authorized by state law, in</w:t>
      </w:r>
      <w:r>
        <w:t xml:space="preserve">] its extraterritorial jurisdiction a municipality shall not regulate</w:t>
      </w:r>
      <w:r>
        <w:rPr>
          <w:u w:val="single"/>
        </w:rPr>
        <w:t xml:space="preserve">, either directly or indirectly</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any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size, type, or method of construction of a water or wastewater facility that can be constructed to serve a developed tract of land if[</w:t>
      </w:r>
      <w:r>
        <w:rPr>
          <w:strike/>
        </w:rPr>
        <w:t xml:space="preserve">:</w:t>
      </w:r>
    </w:p>
    <w:p w:rsidR="003F3435" w:rsidRDefault="0032493E">
      <w:pPr>
        <w:spacing w:line="480" w:lineRule="auto"/>
        <w:ind w:firstLine="2160"/>
        <w:jc w:val="both"/>
      </w:pPr>
      <w:r>
        <w:t xml:space="preserve">[</w:t>
      </w:r>
      <w:r>
        <w:rPr>
          <w:strike/>
        </w:rPr>
        <w:t xml:space="preserve">(A)</w:t>
      </w:r>
      <w:r>
        <w:t xml:space="preserve">] the facility meets the minimum standards established for water or wastewater facilities by state and federal regulatory entities; </w:t>
      </w:r>
      <w:r>
        <w:rPr>
          <w:u w:val="single"/>
        </w:rPr>
        <w:t xml:space="preserve">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minimum lot sizes, lot dimensions, lot frontages, lot setbacks, or other components of lot density</w:t>
      </w:r>
      <w:r>
        <w:t xml:space="preserve"> [</w:t>
      </w:r>
      <w:r>
        <w:rPr>
          <w:strike/>
        </w:rPr>
        <w:t xml:space="preserve">and</w:t>
      </w:r>
    </w:p>
    <w:p w:rsidR="003F3435" w:rsidRDefault="0032493E">
      <w:pPr>
        <w:spacing w:line="480" w:lineRule="auto"/>
        <w:ind w:firstLine="2160"/>
        <w:jc w:val="both"/>
      </w:pPr>
      <w:r>
        <w:t xml:space="preserve">[</w:t>
      </w:r>
      <w:r>
        <w:rPr>
          <w:strike/>
        </w:rPr>
        <w:t xml:space="preserve">(B)  the developed tract of land is: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located in a county with a population of 2.8 million or more; and</w:t>
      </w:r>
    </w:p>
    <w:p w:rsidR="003F3435" w:rsidRDefault="0032493E">
      <w:pPr>
        <w:spacing w:line="480" w:lineRule="auto"/>
        <w:ind w:firstLine="2880"/>
        <w:jc w:val="both"/>
      </w:pPr>
      <w:r>
        <w:t xml:space="preserve">[</w:t>
      </w:r>
      <w:r>
        <w:rPr>
          <w:strike/>
        </w:rPr>
        <w:t xml:space="preserve">(ii)  served by:</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on-site septic systems constructed before September 1, 2001, that fail to provide adequate services;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on-site water wells constructed before September 1, 2001, that fail to provide an adequate supply of safe drinking water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232.101(a)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By an order adopted and entered in the minutes of the commissioners court and after a notice is published in a newspaper of general circulation in the county, the commissioners court may adopt rules governing plats and subdivisions of land within the unincorporated area of the county </w:t>
      </w:r>
      <w:r>
        <w:rPr>
          <w:u w:val="single"/>
        </w:rPr>
        <w:t xml:space="preserve">as authorized in this subchapter</w:t>
      </w:r>
      <w:r>
        <w:t xml:space="preserve"> [</w:t>
      </w:r>
      <w:r>
        <w:rPr>
          <w:strike/>
        </w:rPr>
        <w:t xml:space="preserve">to promote the health, safety, morals, or general welfare of the county and the safe, orderly, and healthful development of the unincorporated area of the county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Unless otherwise authorized by state law, a</w:t>
      </w:r>
      <w:r>
        <w:t xml:space="preserve">] commissioners court shall not regulate</w:t>
      </w:r>
      <w:r>
        <w:rPr>
          <w:u w:val="single"/>
        </w:rPr>
        <w:t xml:space="preserve">, either directly or indirectly</w:t>
      </w:r>
      <w:r>
        <w:t xml:space="preserve"> [</w:t>
      </w:r>
      <w:r>
        <w:rPr>
          <w:strike/>
        </w:rPr>
        <w:t xml:space="preserve">under this section</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and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w:t>
      </w:r>
    </w:p>
    <w:p w:rsidR="003F3435" w:rsidRDefault="0032493E">
      <w:pPr>
        <w:spacing w:line="480" w:lineRule="auto"/>
        <w:ind w:firstLine="1440"/>
        <w:jc w:val="both"/>
      </w:pPr>
      <w:r>
        <w:t xml:space="preserve">(5)</w:t>
      </w:r>
      <w:r xml:space="preserve">
        <w:t> </w:t>
      </w:r>
      <w:r xml:space="preserve">
        <w:t> </w:t>
      </w:r>
      <w:r>
        <w:t xml:space="preserve">a plat or subdivision in an adjoining county;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road access to a plat or subdivision in an adjoining county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minimum lot sizes, lot dimensions, lot frontages, lot setbacks, or other components of lot density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212.003(a), Local Government Code, as amended by this Act, and Sections 232.101(a) and (b), Local Government Code, as amended by this Act, apply only to a plat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