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Anchía, Capriglione</w:t>
      </w:r>
      <w:r xml:space="preserve">
        <w:tab wTab="150" tlc="none" cTlc="0"/>
      </w:r>
      <w:r>
        <w:t xml:space="preserve">H.B.</w:t>
      </w:r>
      <w:r xml:space="preserve">
        <w:t> </w:t>
      </w:r>
      <w:r>
        <w:t xml:space="preserve">No.</w:t>
      </w:r>
      <w:r xml:space="preserve">
        <w:t> </w:t>
      </w:r>
      <w:r>
        <w:t xml:space="preserve">4996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statewide cyber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(2)</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(3)</w:t>
      </w:r>
      <w:r xml:space="preserve">
        <w:t> </w:t>
      </w:r>
      <w:r xml:space="preserve">
        <w:t> </w:t>
      </w:r>
      <w:r>
        <w:t xml:space="preserve">"Risk framework" means key security domains identified by cyber insurance underwriters based on current security controls.</w:t>
      </w:r>
    </w:p>
    <w:p w:rsidR="003F3435" w:rsidRDefault="0032493E">
      <w:pPr>
        <w:spacing w:line="480" w:lineRule="auto"/>
        <w:ind w:firstLine="1440"/>
        <w:jc w:val="both"/>
      </w:pPr>
      <w:r>
        <w:t xml:space="preserve">(4)</w:t>
      </w:r>
      <w:r xml:space="preserve">
        <w:t> </w:t>
      </w:r>
      <w:r xml:space="preserve">
        <w:t> </w:t>
      </w:r>
      <w:r>
        <w:t xml:space="preserve">"Security controls" include:</w:t>
      </w:r>
    </w:p>
    <w:p w:rsidR="003F3435" w:rsidRDefault="0032493E">
      <w:pPr>
        <w:spacing w:line="480" w:lineRule="auto"/>
        <w:ind w:firstLine="2160"/>
        <w:jc w:val="both"/>
      </w:pPr>
      <w:r>
        <w:t xml:space="preserve">(A)</w:t>
      </w:r>
      <w:r xml:space="preserve">
        <w:t> </w:t>
      </w:r>
      <w:r xml:space="preserve">
        <w:t> </w:t>
      </w:r>
      <w:r>
        <w:t xml:space="preserve">use of multiple security levels;</w:t>
      </w:r>
    </w:p>
    <w:p w:rsidR="003F3435" w:rsidRDefault="0032493E">
      <w:pPr>
        <w:spacing w:line="480" w:lineRule="auto"/>
        <w:ind w:firstLine="2160"/>
        <w:jc w:val="both"/>
      </w:pPr>
      <w:r>
        <w:t xml:space="preserve">(B)</w:t>
      </w:r>
      <w:r xml:space="preserve">
        <w:t> </w:t>
      </w:r>
      <w:r xml:space="preserve">
        <w:t> </w:t>
      </w:r>
      <w:r>
        <w:t xml:space="preserve">managing user access;</w:t>
      </w:r>
    </w:p>
    <w:p w:rsidR="003F3435" w:rsidRDefault="0032493E">
      <w:pPr>
        <w:spacing w:line="480" w:lineRule="auto"/>
        <w:ind w:firstLine="2160"/>
        <w:jc w:val="both"/>
      </w:pPr>
      <w:r>
        <w:t xml:space="preserve">(C)</w:t>
      </w:r>
      <w:r xml:space="preserve">
        <w:t> </w:t>
      </w:r>
      <w:r xml:space="preserve">
        <w:t> </w:t>
      </w:r>
      <w:r>
        <w:t xml:space="preserve">user authentication;</w:t>
      </w:r>
    </w:p>
    <w:p w:rsidR="003F3435" w:rsidRDefault="0032493E">
      <w:pPr>
        <w:spacing w:line="480" w:lineRule="auto"/>
        <w:ind w:firstLine="2160"/>
        <w:jc w:val="both"/>
      </w:pPr>
      <w:r>
        <w:t xml:space="preserve">(D)</w:t>
      </w:r>
      <w:r xml:space="preserve">
        <w:t> </w:t>
      </w:r>
      <w:r xml:space="preserve">
        <w:t> </w:t>
      </w:r>
      <w:r>
        <w:t xml:space="preserve">network and server vulnerability;</w:t>
      </w:r>
    </w:p>
    <w:p w:rsidR="003F3435" w:rsidRDefault="0032493E">
      <w:pPr>
        <w:spacing w:line="480" w:lineRule="auto"/>
        <w:ind w:firstLine="2160"/>
        <w:jc w:val="both"/>
      </w:pPr>
      <w:r>
        <w:t xml:space="preserve">(E)</w:t>
      </w:r>
      <w:r xml:space="preserve">
        <w:t> </w:t>
      </w:r>
      <w:r xml:space="preserve">
        <w:t> </w:t>
      </w:r>
      <w:r>
        <w:t xml:space="preserve">malware defense;</w:t>
      </w:r>
    </w:p>
    <w:p w:rsidR="003F3435" w:rsidRDefault="0032493E">
      <w:pPr>
        <w:spacing w:line="480" w:lineRule="auto"/>
        <w:ind w:firstLine="2160"/>
        <w:jc w:val="both"/>
      </w:pPr>
      <w:r>
        <w:t xml:space="preserve">(F)</w:t>
      </w:r>
      <w:r xml:space="preserve">
        <w:t> </w:t>
      </w:r>
      <w:r xml:space="preserve">
        <w:t> </w:t>
      </w:r>
      <w:r>
        <w:t xml:space="preserve">operational technology;</w:t>
      </w:r>
    </w:p>
    <w:p w:rsidR="003F3435" w:rsidRDefault="0032493E">
      <w:pPr>
        <w:spacing w:line="480" w:lineRule="auto"/>
        <w:ind w:firstLine="2160"/>
        <w:jc w:val="both"/>
      </w:pPr>
      <w:r>
        <w:t xml:space="preserve">(G)</w:t>
      </w:r>
      <w:r xml:space="preserve">
        <w:t> </w:t>
      </w:r>
      <w:r xml:space="preserve">
        <w:t> </w:t>
      </w:r>
      <w:r>
        <w:t xml:space="preserve">remote work;</w:t>
      </w:r>
    </w:p>
    <w:p w:rsidR="003F3435" w:rsidRDefault="0032493E">
      <w:pPr>
        <w:spacing w:line="480" w:lineRule="auto"/>
        <w:ind w:firstLine="2160"/>
        <w:jc w:val="both"/>
      </w:pPr>
      <w:r>
        <w:t xml:space="preserve">(H)</w:t>
      </w:r>
      <w:r xml:space="preserve">
        <w:t> </w:t>
      </w:r>
      <w:r xml:space="preserve">
        <w:t> </w:t>
      </w:r>
      <w:r>
        <w:t xml:space="preserve">third-party vendor management;</w:t>
      </w:r>
    </w:p>
    <w:p w:rsidR="003F3435" w:rsidRDefault="0032493E">
      <w:pPr>
        <w:spacing w:line="480" w:lineRule="auto"/>
        <w:ind w:firstLine="2160"/>
        <w:jc w:val="both"/>
      </w:pPr>
      <w:r>
        <w:t xml:space="preserve">(I)</w:t>
      </w:r>
      <w:r xml:space="preserve">
        <w:t> </w:t>
      </w:r>
      <w:r xml:space="preserve">
        <w:t> </w:t>
      </w:r>
      <w:r>
        <w:t xml:space="preserve">e-mail filtering;</w:t>
      </w:r>
    </w:p>
    <w:p w:rsidR="003F3435" w:rsidRDefault="0032493E">
      <w:pPr>
        <w:spacing w:line="480" w:lineRule="auto"/>
        <w:ind w:firstLine="2160"/>
        <w:jc w:val="both"/>
      </w:pPr>
      <w:r>
        <w:t xml:space="preserve">(J)</w:t>
      </w:r>
      <w:r xml:space="preserve">
        <w:t> </w:t>
      </w:r>
      <w:r xml:space="preserve">
        <w:t> </w:t>
      </w:r>
      <w:r>
        <w:t xml:space="preserve">response planning;</w:t>
      </w:r>
    </w:p>
    <w:p w:rsidR="003F3435" w:rsidRDefault="0032493E">
      <w:pPr>
        <w:spacing w:line="480" w:lineRule="auto"/>
        <w:ind w:firstLine="2160"/>
        <w:jc w:val="both"/>
      </w:pPr>
      <w:r>
        <w:t xml:space="preserve">(K)</w:t>
      </w:r>
      <w:r xml:space="preserve">
        <w:t> </w:t>
      </w:r>
      <w:r xml:space="preserve">
        <w:t> </w:t>
      </w:r>
      <w:r>
        <w:t xml:space="preserve">data encryption and backup;</w:t>
      </w:r>
    </w:p>
    <w:p w:rsidR="003F3435" w:rsidRDefault="0032493E">
      <w:pPr>
        <w:spacing w:line="480" w:lineRule="auto"/>
        <w:ind w:firstLine="2160"/>
        <w:jc w:val="both"/>
      </w:pPr>
      <w:r>
        <w:t xml:space="preserve">(L)</w:t>
      </w:r>
      <w:r xml:space="preserve">
        <w:t> </w:t>
      </w:r>
      <w:r xml:space="preserve">
        <w:t> </w:t>
      </w:r>
      <w:r>
        <w:t xml:space="preserve">use of wireless devices and connections;</w:t>
      </w:r>
    </w:p>
    <w:p w:rsidR="003F3435" w:rsidRDefault="0032493E">
      <w:pPr>
        <w:spacing w:line="480" w:lineRule="auto"/>
        <w:ind w:firstLine="2160"/>
        <w:jc w:val="both"/>
      </w:pPr>
      <w:r>
        <w:t xml:space="preserve">(M)</w:t>
      </w:r>
      <w:r xml:space="preserve">
        <w:t> </w:t>
      </w:r>
      <w:r xml:space="preserve">
        <w:t> </w:t>
      </w:r>
      <w:r>
        <w:t xml:space="preserve">monitoring users or devices;</w:t>
      </w:r>
    </w:p>
    <w:p w:rsidR="003F3435" w:rsidRDefault="0032493E">
      <w:pPr>
        <w:spacing w:line="480" w:lineRule="auto"/>
        <w:ind w:firstLine="2160"/>
        <w:jc w:val="both"/>
      </w:pPr>
      <w:r>
        <w:t xml:space="preserve">(N)</w:t>
      </w:r>
      <w:r xml:space="preserve">
        <w:t> </w:t>
      </w:r>
      <w:r xml:space="preserve">
        <w:t> </w:t>
      </w:r>
      <w:r>
        <w:t xml:space="preserve">continuity of service;</w:t>
      </w:r>
    </w:p>
    <w:p w:rsidR="003F3435" w:rsidRDefault="0032493E">
      <w:pPr>
        <w:spacing w:line="480" w:lineRule="auto"/>
        <w:ind w:firstLine="2160"/>
        <w:jc w:val="both"/>
      </w:pPr>
      <w:r>
        <w:t xml:space="preserve">(O)</w:t>
      </w:r>
      <w:r xml:space="preserve">
        <w:t> </w:t>
      </w:r>
      <w:r xml:space="preserve">
        <w:t> </w:t>
      </w:r>
      <w:r>
        <w:t xml:space="preserve">incident response;</w:t>
      </w:r>
    </w:p>
    <w:p w:rsidR="003F3435" w:rsidRDefault="0032493E">
      <w:pPr>
        <w:spacing w:line="480" w:lineRule="auto"/>
        <w:ind w:firstLine="2160"/>
        <w:jc w:val="both"/>
      </w:pPr>
      <w:r>
        <w:t xml:space="preserve">(P)</w:t>
      </w:r>
      <w:r xml:space="preserve">
        <w:t> </w:t>
      </w:r>
      <w:r xml:space="preserve">
        <w:t> </w:t>
      </w:r>
      <w:r>
        <w:t xml:space="preserve">appropriate insurance coverage; and</w:t>
      </w:r>
    </w:p>
    <w:p w:rsidR="003F3435" w:rsidRDefault="0032493E">
      <w:pPr>
        <w:spacing w:line="480" w:lineRule="auto"/>
        <w:ind w:firstLine="2160"/>
        <w:jc w:val="both"/>
      </w:pPr>
      <w:r>
        <w:t xml:space="preserve">(Q)</w:t>
      </w:r>
      <w:r xml:space="preserve">
        <w:t> </w:t>
      </w:r>
      <w:r xml:space="preserve">
        <w:t> </w:t>
      </w:r>
      <w:r>
        <w:t xml:space="preserve">governance.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Not later than October 1, 2023, the department shall contract with a cyber risk model vendor to conduct a study on the development of a statewide risk framework in order to determine the need for and feasibility of implementing a statewide cyber insurance program.  The department shall enter into a memorandum of understanding with the office to support this assessment.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INSURANCE PROGRAM.  Based on the results of the study required by Section 2 of this Act, the office may develop and maintain a statewide cyber insurance program meeting the specifications identified in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Not later than April 1, 2024, the department, in conjunction with the office, shall prepare and submit to the governor and the legislature a report containing the results of the study and any recommendations for legislative or other action to address the need for and feasibility of requiring cyber insurance.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