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88R8797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Gamez</w:t>
      </w:r>
      <w:r xml:space="preserve">
        <w:tab wTab="150" tlc="none" cTlc="0"/>
      </w:r>
      <w:r>
        <w:t xml:space="preserve">H.B.</w:t>
      </w:r>
      <w:r xml:space="preserve">
        <w:t> </w:t>
      </w:r>
      <w:r>
        <w:t xml:space="preserve">No.</w:t>
      </w:r>
      <w:r xml:space="preserve">
        <w:t> </w:t>
      </w:r>
      <w:r>
        <w:t xml:space="preserve">5020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Autism Medicaid Services Program Advisory Committee to evaluate the provision of applied behavior analysis services under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531, Government Code, is amended by adding Section 531.0122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531.0122.</w:t>
      </w:r>
      <w:r>
        <w:rPr>
          <w:u w:val="single"/>
        </w:rPr>
        <w:t xml:space="preserve"> </w:t>
      </w:r>
      <w:r>
        <w:rPr>
          <w:u w:val="single"/>
        </w:rPr>
        <w:t xml:space="preserve"> </w:t>
      </w:r>
      <w:r>
        <w:rPr>
          <w:u w:val="single"/>
        </w:rPr>
        <w:t xml:space="preserve">AUTISM MEDICAID SERVICES PROGRAM ADVISORY COMMITTEE.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committee" means the Autism Medicaid Services Program Advisory Committee established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the autism Medicaid services program administered by the commission under Medicaid to provide applied behavior analysis services to recipients with autism spectrum disorder.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accordance with Section 531.012, the executive commissioner by rule shall establish the Autism Medicaid Services Program Advisory Committee to evaluate and advise the commission on issues and concerns relating to the provision of applied behavior analysis services under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appoint to the advisory committee members with expertise in the provision of applied behavior analysis services,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staff;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contractors;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Medicaid managed care organization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applied behavioral analysis providers participating in the program that represent: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various geographic areas of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variety of operational sizes;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relevant advocates and stakeholders;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recipients of applied behavior analysis services or the parents or legal guardians of those recipients;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persons the executive commissioner determines appropriate.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shall select from among the advisory committee members a presiding officer.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November 1 of each year, the advisory committee shall prepare and submit to the executive commissioner, the commission's executive council established under Section 531.0051, the governor, and the legislature an electronic written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program budget for the preceding fiscal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money spent to provide reimbursements under the program for the provision of applied behavior analysis services during: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preceding fiscal year under the program to provide reimbursements for the provision of applied behavior analysis services;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period beginning on the date the program was established to the 30th day preceding the date the report is prepared;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number of recipients who received applied behavior analysis services under the program during: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preceding fiscal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period beginning on the date the program was established to the 30th day preceding the date the report is prepared;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number of projected recipients who will receive applied behavior analysis services under the program for the current fiscal year;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minutes of each advisory committee meeting conducted during the preceding fiscal year, including any written public comments and transcribed oral public comments;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analysis of barriers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program's efficiency;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access to applied behavior analysis services under the program;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program network adequacy, including recommendations for improving program efficiency.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Beginning December 1, 2028,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annually evaluate whether there is a continuing need for the advisory committee;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 recommendation regarding the committee's continuation to the legislature and provide the recommendation with the next annual report required under Subsection (e).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March 1, 2024, the executive commissioner of the Health and Human Services Commission shall appoint members to the Autism Medicaid Services Program Advisory Committee as required by Section 531.0122, Government Code, as added by this Act.</w:t>
      </w:r>
    </w:p>
    <w:p w:rsidR="003F3435" w:rsidRDefault="0032493E">
      <w:pPr>
        <w:spacing w:line="480" w:lineRule="auto"/>
        <w:ind w:firstLine="720"/>
        <w:jc w:val="both"/>
      </w:pPr>
      <w:r>
        <w:t xml:space="preserve">(b)</w:t>
      </w:r>
      <w:r xml:space="preserve">
        <w:t> </w:t>
      </w:r>
      <w:r xml:space="preserve">
        <w:t> </w:t>
      </w:r>
      <w:r>
        <w:t xml:space="preserve">Notwithstanding Section 531.0122, Government Code, as added by this Act, the Autism Medicaid Services Program Advisory Committee established under that section is not required to submit the first report under that section until November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