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88R6991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5033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schools and public institutions of higher education to report data regarding certain arrests made on school or institution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37.088.</w:t>
      </w:r>
      <w:r>
        <w:rPr>
          <w:u w:val="single"/>
        </w:rPr>
        <w:t xml:space="preserve"> </w:t>
      </w:r>
      <w:r>
        <w:rPr>
          <w:u w:val="single"/>
        </w:rPr>
        <w:t xml:space="preserve"> </w:t>
      </w:r>
      <w:r>
        <w:rPr>
          <w:u w:val="single"/>
        </w:rPr>
        <w:t xml:space="preserve">REPORT TO AGENCY ON CERTAIN ARRESTS. </w:t>
      </w:r>
      <w:r>
        <w:rPr>
          <w:u w:val="single"/>
        </w:rPr>
        <w:t xml:space="preserve"> </w:t>
      </w:r>
      <w:r>
        <w:rPr>
          <w:u w:val="single"/>
        </w:rPr>
        <w:t xml:space="preserve">(a) </w:t>
      </w:r>
      <w:r>
        <w:rPr>
          <w:u w:val="single"/>
        </w:rPr>
        <w:t xml:space="preserve"> </w:t>
      </w:r>
      <w:r>
        <w:rPr>
          <w:u w:val="single"/>
        </w:rPr>
        <w:t xml:space="preserve">Not later than the 60th day after the last day of classes for the school year, the superintendent of a school district shall electronically submit to the agency a report that contains incident-based data describing the total number of arrests made on school property by a district peace officer or school resource officer during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incident-based data submitted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age of the person arrested;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gender of the person arrested;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race or ethnicity of the person arrested;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nature of the offense;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the offense occurred during regular school hours;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whether the offense occurred on school property or off school property while the person was attending a school-sponsored or school-related activity;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campus for which an arrest is reported, a comparison of the demographics of students who were arrested to the demographics of the campus's student body, disaggregated by each demographic described by Subdivision (1)(A), (B), or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 collected for a report required under this section does not constitute prima facie evidence of racial profiling.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required under this section may not include information that identifies the peace officer who made an arrest. </w:t>
      </w:r>
      <w:r>
        <w:rPr>
          <w:u w:val="single"/>
        </w:rPr>
        <w:t xml:space="preserve"> </w:t>
      </w:r>
      <w:r>
        <w:rPr>
          <w:u w:val="single"/>
        </w:rPr>
        <w:t xml:space="preserve">The identity of the peace officer is confidential and not subject to disclosure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report required under this section may not include personally identifiable student information and must comply with the Family Educational Rights and Privacy Act of 1974 (20 U.S.C. Section 1232g).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enters into a memorandum of understanding with a local law enforcement agency for the provision of a regular police presence on campus shall designate in the memorandum of understanding which entity will be responsible for collecting the data described by Subsection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collect the reports required under this section, compile the data, and make the data available to the public. </w:t>
      </w:r>
      <w:r>
        <w:rPr>
          <w:u w:val="single"/>
        </w:rPr>
        <w:t xml:space="preserve"> </w:t>
      </w:r>
      <w:r>
        <w:rPr>
          <w:u w:val="single"/>
        </w:rPr>
        <w:t xml:space="preserve">The data must be disaggregated by school district to the extent possible while protecting the confidentiality of student information in accordance with Subsection (e).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adopt rules as necessary to implement this section, including rules requiring the reporting of incident-based data using existing Public Education Information Management System (PEIMS) codes for the reporting of arrests described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51, Education Code, is amended by adding Section 51.222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51.222.</w:t>
      </w:r>
      <w:r>
        <w:rPr>
          <w:u w:val="single"/>
        </w:rPr>
        <w:t xml:space="preserve"> </w:t>
      </w:r>
      <w:r>
        <w:rPr>
          <w:u w:val="single"/>
        </w:rPr>
        <w:t xml:space="preserve"> </w:t>
      </w:r>
      <w:r>
        <w:rPr>
          <w:u w:val="single"/>
        </w:rPr>
        <w:t xml:space="preserve">REPORT TO COORDINATING BOARD ON CERTAIN ARRESTS.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each year, an institution of higher education shall electronically submit to the coordinating board a report that contains incident-based data describing the total number of arrests made by a peace officer commissioned by the institution on property under the control and jurisdiction of the institution during the preceding academic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incident-based data submitted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age of the person arrested;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gender of the person arrested;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race or ethnicity of the person arrested;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nature of the offense;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the offense occurred during regular instructional hours;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whether the offense occurred on or off institutional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campus for which an arrest is reported, a comparison of the demographics of students who were arrested to the demographics of the campus's student body, disaggregated by each demographic described by Subdivision (1)(A), (B), or (C).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data collected for a report required under this section does not constitute prima facie evidence of racial profiling.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report required under this section may not include information that identifies the peace officer who made an arrest.  The identity of the peace officer is confidential and not subject to disclosure under Chapter 552,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report required under this section may not include personally identifiable student information and must comply with the Family Educational Rights and Privacy Act of 1974 (20 U.S.C. Section 1232g).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coordinating board shall collect the reports required under this section, compile the data, and make the data available to the public.  The data must be disaggregated by institution of higher education to the extent possible while protecting the confidentiality of student information in accordance with Subsection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coordinating board shall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the reporting of information regarding certain arrests under Section 37.088</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 37.088, Education Code, as added by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51.222, Education Code, as added by this Act, applies beginning with the 2023-2024 academic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