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88R15194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5043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expedited forcible detainer suits to evict certain occupants of a dwelling.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 Property Code, is amended by adding Section 24.012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24.012.</w:t>
      </w:r>
      <w:r>
        <w:rPr>
          <w:u w:val="single"/>
        </w:rPr>
        <w:t xml:space="preserve"> </w:t>
      </w:r>
      <w:r>
        <w:rPr>
          <w:u w:val="single"/>
        </w:rPr>
        <w:t xml:space="preserve"> </w:t>
      </w:r>
      <w:r>
        <w:rPr>
          <w:u w:val="single"/>
        </w:rPr>
        <w:t xml:space="preserve">FORCIBLE DETAINER SUITS AGAINST CERTAIN OCCUPANTS OF A DWELLING.  (a) </w:t>
      </w:r>
      <w:r>
        <w:rPr>
          <w:u w:val="single"/>
        </w:rPr>
        <w:t xml:space="preserve"> </w:t>
      </w:r>
      <w:r>
        <w:rPr>
          <w:u w:val="single"/>
        </w:rPr>
        <w:t xml:space="preserve">Notwithstanding any other law, a person with the right of possession of a dwelling may file a forcible detainer suit to remove an occupant of the dwelling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the property owner;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entitled to occupy the dwelling under a written lease or oral rental agreement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landlord;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person entitled to occupy the dwelling under a written lease or oral rental agreement with the landlord;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pay 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comply with any oral or written notice requirement of this chapter or any other law before the person files a forcible detainer suit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files a forcible detainer suit under this section is entitled to a judgment for possession and a writ of possession under Section 24.0061 if the person presents to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one or more of the following orders protecting the person filing the suit or a tenant or lawful occupant of the dwelling from family violence alleged to have been committed by the person whose eviction is sought: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temporary injunction issued under Subchapter F, Chapter 6,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temporary ex parte order issued under Chapter 83, Family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protective order issued under Chapter 85, Family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of emergency protection under Article 17.292,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documentation of the family violence described against the person filing the suit or a tenant or lawful occupant of the dwelling by the person whose eviction is sought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health care services provider who examined the victim;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licensed mental health services provider who examined or evaluated the victim;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advocate as defined by Section 93.001, Family Code, who assisted the victim;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filing the suit or a tenant or lawful occupant of the dwelling is a victim or a parent or guardian of a victim of sexual assault under Section 22.011, Penal Code, aggravated sexual assault under Section 22.021, Penal Code, indecency with a child under Section 21.11, Penal Code, sexual performance by a child under Section 43.25, Penal Code, continuous sexual abuse of young child or disabled individual under Section 21.02, Penal Code, or an attempt to commit any of the preceding offenses under Section 15.01, Penal Code, that takes place during the preceding six-month period at the dwelling or on the dwelling premises, that is alleged to have been committed by the person whose eviction is sought, a copy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documentation of the assault or abuse, or attempted assault or abuse, of the victim from a licensed health care services provider who examined the victim;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documentation of the assault or abuse, or attempted assault or abuse, of the victim from a licensed mental health services provider who examined or evaluated the victim;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of the assault or abuse, or attempted assault or abuse, of the victim from an individual authorized under Chapter 420, Government Code, who provided services to the victim;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documentation of a protective order issued under Subchapter A, Chapter 7B, Code of Criminal Procedure, except for a temporary ex parte order;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person filing the suit or a tenant or lawful occupant of the dwelling is a victim or a parent or guardian of a victim of stalking under Section 42.072, Penal Code, that takes place during the preceding six-month period at the dwelling or on the dwelling premises, that is alleged to have been committed by the person whose eviction is sought, a copy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documentation of a protective order issued under Subchapter A or B, Chapter 7B, Code of Criminal Procedure, except for a temporary ex parte order;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documentation of the stalking from a provider of services described by Subdivision (1), (2), or (3)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law enforcement incident report or, if a law enforcement incident report is unavailable, another record maintained in the ordinary course of business by a law enforcement agency;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report or record described by Paragraph (A) identifies the victim by means of a pseudonym, as defined by Article 58.001, Code of Criminal Procedure, a copy of a pseudonym form completed and returned under Article 58.152(a) of that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evidence showing that the person whose eviction is sought has been convicted of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violent offense,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aggravated assault under Section 22.02, Penal Code;</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robbery under Section 29.02, Penal Code;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murder under Section 19.02, Penal Code;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attempt to commit any of the preceding offenses under Section 15.01,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sex offense,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continuous sexual abuse of a young child or disabled individual under Section 21.02, Penal Code;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an attempt to commit any of the preceding offenses under Section 15.01, Penal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expedite a hearing on a suit filed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