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imposition of sales and use tax after a municipality annexes an area in an emergency services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>
        <w:t xml:space="preserve">Subchapter E, Chapter 775, Health and Safety Code, is amended by adding Section 775.0755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775.0755.</w:t>
      </w:r>
      <w:r>
        <w:rPr>
          <w:u w:val="single"/>
        </w:rPr>
        <w:t xml:space="preserve"> </w:t>
      </w:r>
      <w:r>
        <w:rPr>
          <w:u w:val="single"/>
        </w:rPr>
        <w:t xml:space="preserve">SALES AND USE TAX AFTER CERTAIN ANNEXATIONS. (a) This section applies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a municipality annexes for full purposes part of a district that imposes a sales and use tax;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the annexed area is not removed from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intends to be the sole provider of emergency services to the area.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Section 321.102(f), Tax Code, does not apply to a reduction of the tax rate of the district required by Section 321.102(e) of that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If an election is required for the annexation under Chapter 43, Local Government Code, the ballot must include the following language: "If the annexation is approved, a portion of the sales and use tax previously collected by _____________ (insert name of the district) will instead be collected by _____________ (insert name of the municipality)."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