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88R11463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DeAyala</w:t>
      </w:r>
      <w:r xml:space="preserve">
        <w:tab wTab="150" tlc="none" cTlc="0"/>
      </w:r>
      <w:r>
        <w:t xml:space="preserve">H.B.</w:t>
      </w:r>
      <w:r xml:space="preserve">
        <w:t> </w:t>
      </w:r>
      <w:r>
        <w:t xml:space="preserve">No.</w:t>
      </w:r>
      <w:r xml:space="preserve">
        <w:t> </w:t>
      </w:r>
      <w:r>
        <w:t xml:space="preserve">5053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venue for the prosecution of an election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 Code of Criminal Procedure, is amended by adding Article 13.41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13.41.</w:t>
      </w:r>
      <w:r>
        <w:rPr>
          <w:u w:val="single"/>
        </w:rPr>
        <w:t xml:space="preserve"> </w:t>
      </w:r>
      <w:r>
        <w:rPr>
          <w:u w:val="single"/>
        </w:rPr>
        <w:t xml:space="preserve"> </w:t>
      </w:r>
      <w:r>
        <w:rPr>
          <w:u w:val="single"/>
        </w:rPr>
        <w:t xml:space="preserve">ELECTION OFFENSES.  (a)  An offense classified as a felony under the Election Code, or a felony offense otherwise related to an election conducted in this state, may be prosecuted in a judicial district adjoining the judicial district in which the offense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classified as a misdemeanor under the Election Code, or a misdemeanor offense otherwise related to an election conducted in this state, may be prosecuted in a county adjoining the county in which the offense occurred.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violation of law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of law occurred before the effective date of this Act if any element of the violation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