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88R8030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5057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that certain appraisal districts maintain an Internet website and post certain information on the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6, Tax Code, is amended by adding Section 6.17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w:t>
      </w:r>
      <w:r>
        <w:rPr>
          <w:u w:val="single"/>
        </w:rPr>
        <w:t xml:space="preserve"> </w:t>
      </w:r>
      <w:r>
        <w:rPr>
          <w:u w:val="single"/>
        </w:rPr>
        <w:t xml:space="preserve"> </w:t>
      </w:r>
      <w:r>
        <w:rPr>
          <w:u w:val="single"/>
        </w:rPr>
        <w:t xml:space="preserve">INTERNET WEBSITE REQUIRED FOR POPULOUS DISTRICTS.  An appraisal district established in a county with a population of 120,000 or more shall maintain an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an appraisal district established in a county with a population of 120,000 or more. </w:t>
      </w:r>
      <w:r>
        <w:rPr>
          <w:u w:val="single"/>
        </w:rPr>
        <w:t xml:space="preserve"> </w:t>
      </w:r>
      <w:r>
        <w:rPr>
          <w:u w:val="single"/>
        </w:rPr>
        <w:t xml:space="preserve">The chief appraiser shall post on the appraisal district's Internet website the district's appraisal records, other than records that are confidential under law, and must continuously update the posted records to include any change in the appraised value of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