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88R8163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5059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by which the chief appraiser of an appraisal district is required to notify an owner of property that has been omitted from the appraisal roll that the property is being added to the roll.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1.07(d), Tax Code, is amended to read as follows:</w:t>
      </w:r>
    </w:p>
    <w:p w:rsidR="003F3435" w:rsidRDefault="0032493E">
      <w:pPr>
        <w:spacing w:line="480" w:lineRule="auto"/>
        <w:ind w:firstLine="720"/>
        <w:jc w:val="both"/>
      </w:pPr>
      <w:r>
        <w:t xml:space="preserve">(d)</w:t>
      </w:r>
      <w:r xml:space="preserve">
        <w:t> </w:t>
      </w:r>
      <w:r xml:space="preserve">
        <w:t> </w:t>
      </w:r>
      <w:r>
        <w:t xml:space="preserve">A notice required by Section 11.43(q), 11.45(d), 23.44(d), 23.46(c) or (f), 23.54(e), 23.541(c), 23.55(e), 23.551(a), 23.57(d), 23.76(e), 23.79(d), or 23.85(d) must be sent by certified mail. </w:t>
      </w:r>
      <w:r>
        <w:rPr>
          <w:u w:val="single"/>
        </w:rPr>
        <w:t xml:space="preserve">A notice required by Section 25.19(a)(3) pertaining to property that was not on the appraisal roll in the preceding year because it was omitted from the roll must be sent by certified mail.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