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88R10367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state parklands passports to and a waiver of certain entrance or admission fees to state parks and state historical sites for certain family members of a person who died while serving in the United States armed forces.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442, Government Code, is amended by adding Section 442.00515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442.00515.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FEE WAIVER.  (a) </w:t>
      </w:r>
      <w:r>
        <w:rPr>
          <w:u w:val="single"/>
        </w:rPr>
        <w:t xml:space="preserve"> </w:t>
      </w:r>
      <w:r>
        <w:rPr>
          <w:u w:val="single"/>
        </w:rPr>
        <w:t xml:space="preserve">The executive director shall waive the entrance fee for a historic site under the commission's jurisdiction for an individual who is eligible to receive a gold star lapel button pursuant to 10 U.S.C. Section 1126.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necessary to implement a fee waiver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13.018(a) and (c), Parks and Wildlife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people may apply to the department for a state parklands passport: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of this state who is 65 years old or over who has resided in the state for six consecutive months preceding the date of application for a parklands passport, a member of the United States armed forces on active duty who is 65 years old or over, or any other individual in a category that the commission by rule designates as a resident of this state who is 65 years old or over;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veteran of the armed services of the United States who, as a result of military service, has a service-connected disability, as defined by the Veterans' Administration, consisting of the loss of the use of a lower extremity or of a 60 percent disability rating and who is receiving compensation from the United States because of the disability;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individual who has a physical or mental impairment that substantially limits one or more of the major life activities of the individual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 is eligible to receive a gold star lapel button pursuant to 10 U.S.C. Section 1126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state parklands passport issued on or before August 31, 1995, a person whose birth date is before September 1, 1930, or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veteran</w:t>
      </w:r>
      <w:r>
        <w:t xml:space="preserve">] described by Subsection (a)(2) </w:t>
      </w:r>
      <w:r>
        <w:rPr>
          <w:u w:val="single"/>
        </w:rPr>
        <w:t xml:space="preserve">or (a)(4)</w:t>
      </w:r>
      <w:r>
        <w:t xml:space="preserve"> is entitled to enter any state park without payment of an entrance or admission fee. </w:t>
      </w:r>
      <w:r>
        <w:t xml:space="preserve"> </w:t>
      </w:r>
      <w:r>
        <w:t xml:space="preserve">When a fee is charged by the department for entrance of a vehicle into a state park, the vehicle of the holder of a state parklands passport is exempt from the fee when the holder is present.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