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5074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 license to practice medicine to certain applicants licensed or educated in a foreign country.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155, Occupations Code, is amended by adding Sections 155.012 and 155.013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155.012.</w:t>
      </w:r>
      <w:r>
        <w:rPr>
          <w:u w:val="single"/>
        </w:rPr>
        <w:t xml:space="preserve"> </w:t>
      </w:r>
      <w:r>
        <w:rPr>
          <w:u w:val="single"/>
        </w:rPr>
        <w:t xml:space="preserve"> </w:t>
      </w:r>
      <w:r>
        <w:rPr>
          <w:u w:val="single"/>
        </w:rPr>
        <w:t xml:space="preserve">ISSUANCE OF LICENSE TO APPLICANT LICENSED TO PRACTICE MEDICINE IN CERTAIN FOREIGN COUNTRIES.  Notwithstanding Sections 155.003, 155.004, 155.005, and 155.051, the board shall issue a license to practice medicine to an applicant who presents proof satisfactory to the board that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resident of and licensed in good standing to practice medicine in Australia, Canada, Ireland, Israel, New Zealand, Singapore, South Africa, Switzerland, or the United Kingdom;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been granted a degree of doctor of medicine or a substantially similar degree by a program of medical education determined by the board to be in good standing in accordance with board rule;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completed a residency or substantially similar post-graduate medical training in the applicant's country of residence;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practiced as a medical professional performing the duties of a physician in the applicant's country of residence for not less than two years;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proficiency in the English language;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authorized under federal law to work in the United States.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155.013.</w:t>
      </w:r>
      <w:r>
        <w:rPr>
          <w:u w:val="single"/>
        </w:rPr>
        <w:t xml:space="preserve"> </w:t>
      </w:r>
      <w:r>
        <w:rPr>
          <w:u w:val="single"/>
        </w:rPr>
        <w:t xml:space="preserve"> </w:t>
      </w:r>
      <w:r>
        <w:rPr>
          <w:u w:val="single"/>
        </w:rPr>
        <w:t xml:space="preserve">ISSUANCE OF LICENSE TO GRADUATE OF CERTAIN BOARD-APPROVED FOREIGN MEDICAL PROGRAMS.  (a)  Notwithstanding Sections 155.003, 155.004, and 155.005, the board shall issue a license to practice medicine to an applicant who satisfies: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eligibility requirements of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examination requirements of Section 155.051.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a license under this section, an applicant must present proof satisfactory to the board that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granted a degree of doctor of medicine or a substantially similar degree by a foreign medical program approved under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licensed in good standing to practice medicine in another country;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completed a residency or substantially similar post-graduate medical training in the applicant's country of licensure;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practiced as a medical professional performing the duties of a physician in the applicant's country of licensure for not less than two years;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proficiency in the English language;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authorized under federal law to work in the United States.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adopt rules regarding the approval of foreign medical programs for purposes of this section.  Rules adopted under this subsection must provide that a foreign medical program is eligible to apply under this section only if the program is a medical school, residency program, medical internship program, or other entity that provides medical education or training outside of the United States that is substantially similar to the education or training provided by a medical school described by Section 155.003(a)(4).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approve an application under this section not later than the 120th day after the date the application is submitted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determines the applicant does not meet the eligibility requirements described by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board finds by clear and convincing evidence that the majority of the program's graduates are not likely to provide medical care that satisfies applicable board standards relating to safety, competency, or professional conduct in the practice of medicine.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foreign medical program may appeal the board's denial of the program's application under this section. The appeal is considered to be a contested case under Chapter 2001, Government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shall approve for purposes of this section a foreign medical program if at least five graduates of the program have been issued a license to practice medicine under Section 155.1015(c).</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shall maintain on the board's Internet website a list of all foreign medical programs approved under this section and provide a copy of the list on request.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155, Occupations Code, is amended by adding Section 155.1015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155.1015.</w:t>
      </w:r>
      <w:r>
        <w:rPr>
          <w:u w:val="single"/>
        </w:rPr>
        <w:t xml:space="preserve"> </w:t>
      </w:r>
      <w:r>
        <w:rPr>
          <w:u w:val="single"/>
        </w:rPr>
        <w:t xml:space="preserve"> </w:t>
      </w:r>
      <w:r>
        <w:rPr>
          <w:u w:val="single"/>
        </w:rPr>
        <w:t xml:space="preserve">ISSUANCE OF PROVISIONAL LICENSE TO CERTAIN FOREIGN MEDICAL PROGRAM GRADUATES WITH OFFERS OF EMPLOYMENT.  (a)  On application, the board shall issue a provisional license to practice medicine to an applicant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granted a degree of doctor of medicine or a substantially similar degree by a foreign program of medical education determined to be in good standing in accordance with board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licensed in good standing to practice medicine in another country;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completed a residency or substantially similar post-graduate medical training in the applicant's country of licensure;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practiced as a medical professional performing the duties of a physician in the applicant's country of licensure for not less than two years;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proficiency in the English language;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authorized under federal law to work in the United States;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passes the examination required by Section 155.051;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has been offered employment in this state as a physician by a person who provides health care services in the normal course of business, including a health system, hospital, hospital-based facility, freestanding emergency facility, or urgent care clinic.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provisional license issued under this section expires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board issues the provisional license holder a license under this subtitle or denies the provisional license holder's application for a license under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third anniversary of the date the provisional license was issued.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application, the board shall issue a license under this subtitle to the holder of a provisional license under this section if the provisional license holder: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will have practiced under the provisional license for at least three years at the time the license will be issued;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passes the examination required by Section 155.051;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satisfies any other requirement under board rule for the issuance of a license under this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2023, the Texas Medical Board shall adopt rules as necessary to implement Sections 155.012, 155.013, and 155.1015, Occupations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