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88R14501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Bowers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permissible uses of the allotment for students with dyslexia or related disorders under the Foundation School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48.103(d),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school district may use [</w:t>
      </w:r>
      <w:r>
        <w:rPr>
          <w:strike/>
        </w:rPr>
        <w:t xml:space="preserve">an amount not to exceed 20 percent of</w:t>
      </w:r>
      <w:r>
        <w:t xml:space="preserve">] the allotment provided for a qualifying student under this section to contract with a private provider to provide supplemental academic services to the student that are recommended under the student's program or plan described by Subsection (b). A student may not be excused from school to receive supplemental academic services provided under this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5083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