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88R8076 CJD-D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Manuel</w:t>
      </w:r>
      <w:r xml:space="preserve">
        <w:tab wTab="150" tlc="none" cTlc="0"/>
      </w:r>
      <w:r>
        <w:t xml:space="preserve">H.B.</w:t>
      </w:r>
      <w:r xml:space="preserve">
        <w:t> </w:t>
      </w:r>
      <w:r>
        <w:t xml:space="preserve">No.</w:t>
      </w:r>
      <w:r xml:space="preserve">
        <w:t> </w:t>
      </w:r>
      <w:r>
        <w:t xml:space="preserve">5099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grant program to assist certain current and former peace officers in receiving a teacher certification.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21, Education Code, is amended by adding Section 21.066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21.066.</w:t>
      </w:r>
      <w:r>
        <w:rPr>
          <w:u w:val="single"/>
        </w:rPr>
        <w:t xml:space="preserve"> </w:t>
      </w:r>
      <w:r>
        <w:rPr>
          <w:u w:val="single"/>
        </w:rPr>
        <w:t xml:space="preserve"> </w:t>
      </w:r>
      <w:r>
        <w:rPr>
          <w:u w:val="single"/>
        </w:rPr>
        <w:t xml:space="preserve">TEACHER CERTIFICATION GRANT PROGRAM FOR PEACE OFFICERS.  (a) From money appropriated or otherwise available for the purpose, the board shall establish a grant program to enable eligible persons to receive a teacher certification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to receive a grant under the program,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peace officer, as defined by Article 2.12, Code of Criminal Procedure;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retired peace officer, as defined by Section 1701.3161, Occupations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hold a bachelor's degree from an institution of higher education that is, and at the time the person received the degree was, accredited or otherwise approved by an accrediting organization recognized by the Texas Higher Education Coordinating Board.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grant awarded under this section may be used only to pay: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costs of an educator preparation program or alternative educator certification program;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fee assessed for the administration of an examination prescribed under Section 21.048 for teacher certification.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shall propose rules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5099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