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88R13340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rights and duties of each parent that must be specified in certain agreed parenting plans and orders for the joint managing conservatorship of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153.133(a),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a written agreed parenting plan is filed with the court, the court shall render an order appointing the parents as joint managing conservators only if the parenting plan: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designates the conservator who has the exclusive right to designate the primary residence of the child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establishes, until modified by further order, the geographic area within which the conservator shall maintain the child's primary residence;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specifies that the conservator may designate the child's primary residence without regard to geographic location;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specifies the rights and duties of each parent regarding the child's physical care, support, and education</w:t>
      </w:r>
      <w:r>
        <w:rPr>
          <w:u w:val="single"/>
        </w:rPr>
        <w:t xml:space="preserve">, including educational decisions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includes provisions to minimize disruption of the child's education, daily routine, and association with friends;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allocates between the parents, independently, jointly, or exclusively, all of the remaining rights and duties of a parent provided by Chapter 151;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voluntarily and knowingly made by each parent and has not been repudiated by either parent at the time the order is rendered;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in the best interest of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153.134(b),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rendering an order appointing joint managing conservators,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designate the conservator who has the exclusive right to determine the primary residence of the child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establish, until modified by further order, a geographic area within which the conservator shall maintain the child's primary residence;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specify that the conservator may determine the child's primary residence without regard to geographic location;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specify the rights and duties of each parent regarding the child's physical care, support, and education</w:t>
      </w:r>
      <w:r>
        <w:rPr>
          <w:u w:val="single"/>
        </w:rPr>
        <w:t xml:space="preserve">, including educational decisions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include provisions to minimize disruption of the child's education, daily routine, and association with friends;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allocate between the parents, independently, jointly, or exclusively, all of the remaining rights and duties of a parent as provided by Chapter 151;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feasible, recommend that the parties use an alternative dispute resolution method before requesting enforcement or modification of the terms and conditions of the joint conservatorship through litigation, except in an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Section 153.133(a), Family Code, as amended by this Act, applies only to a written agreed parenting plan filed with the court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153.134(b), Family Code, as amended by this Act, applies only to an order appointing joint managing conservators rendered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