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88R7993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Collier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for certain occupational licenses based on an arrest or conviction for certain offenses involving a controlled substance.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802.107, Occupations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Sections 51.356 and 51.4012 and Chapter 53, the department may not deny issuance of a license to, refuse to renew the license of, or revoke or suspend a license held by a person based on the person's arrest or conviction for an offense involving the possession, manufacture, or delivery of a controlled substance.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1603.401,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1603.401.</w:t>
      </w:r>
      <w:r xml:space="preserve">
        <w:t> </w:t>
      </w:r>
      <w:r xml:space="preserve">
        <w:t> </w:t>
      </w:r>
      <w:r>
        <w:t xml:space="preserve">DENIAL, SUSPENSION, OR REVOCATION.  </w:t>
      </w:r>
      <w:r>
        <w:rPr>
          <w:u w:val="single"/>
        </w:rPr>
        <w:t xml:space="preserve">(a)</w:t>
      </w:r>
      <w:r>
        <w:t xml:space="preserve">  The department may deny an application for issuance or renewal of, or may suspend or revoke, a license or permit if the applicant or person holding the license or permit: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engages in gross malpractice;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knowingly continues to practice while having an infectious or contagious disease;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knowingly makes a false or deceptive statement in advertising;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advertises, practices, or attempts to practice under another person's name or trade name;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engages in fraud or deceit in obtaining a license or permit;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engages in an act that violates this chapter or Chapter 51 or a rule or order adopted or issued under this chapter or Chapter 51.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Sections 51.356 and 51.4012 and Chapter 53, the department may not deny an application for issuance or renewal of, or suspend or revoke, a license or permit based on the arrest or conviction of the applicant or license or permit holder for an offense involving the possession, manufacture, or delivery of a controlled substance.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