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88R14278 MEW-F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5124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bilingual education allotment under the Foundation School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48.105(a),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For each student in average daily attendance in a bilingual education or special language program under Subchapter B, Chapter 29, a district is entitled to an annual allotment equal to the basic allotment multiplied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for an emergent bilingual student, as defined by Section 29.052: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_____</w:t>
      </w:r>
      <w:r>
        <w:t xml:space="preserve"> [</w:t>
      </w:r>
      <w:r>
        <w:rPr>
          <w:strike/>
        </w:rPr>
        <w:t xml:space="preserve">0.1</w:t>
      </w:r>
      <w:r>
        <w:t xml:space="preserve">];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_____</w:t>
      </w:r>
      <w:r>
        <w:t xml:space="preserve"> [</w:t>
      </w:r>
      <w:r>
        <w:rPr>
          <w:strike/>
        </w:rPr>
        <w:t xml:space="preserve">0.15</w:t>
      </w:r>
      <w:r>
        <w:t xml:space="preserve">] if the student is in a bilingual education program using a dual language immersion/one-way or two-way program model;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for a student not described by Subdivision (1), 0.05 if the student is in a bilingual education program using a dual language immersion/two-way program model.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