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88R8390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5126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public institutions of higher education to publish certain online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51, Education Code, is amended by adding Section 51.9747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51.9747.</w:t>
      </w:r>
      <w:r>
        <w:rPr>
          <w:u w:val="single"/>
        </w:rPr>
        <w:t xml:space="preserve"> </w:t>
      </w:r>
      <w:r>
        <w:rPr>
          <w:u w:val="single"/>
        </w:rPr>
        <w:t xml:space="preserve"> </w:t>
      </w:r>
      <w:r>
        <w:rPr>
          <w:u w:val="single"/>
        </w:rPr>
        <w:t xml:space="preserve">ONLINE PUBLIC RESOURCES.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session" means a program, lecture, presentation, or directed group activity planned or presented by an institution of higher education for students, faculty, staff, or the public, whether mandatory or voluntary, for the purpose of coordinating behavior with certain standards or securing compliance with a certain message or purpose.  The term includes any orientation program for new students, faculty, or staff and any training regarding topics surrounding race, gender, sexual identity, campus climate, or interpersonal relations.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institution of higher education shall make available to prospective students, parents of prospective students, and other interested members of the public on the institution's Internet website: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syllabus portal;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employment information directory;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training sessions database.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information made available under Subsection (b)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accessible from the institution's Internet website home page by the use of not more than three website links;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searchable by keywords and phrases;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accessible to the public without requiring registration or use of a user name, password, or other form of user identification.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syllabus portal must include a single database containing the course syllabus for every classroom course offered for credit by the institution.  A syllabus included in the portal: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comply with the requirements under Section 51.974(a)(1);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exclude the time and location of class meetings.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employment information directory must be updated at least annually and include the following information for each employee or officer of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tenure status;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job title;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general job description.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state auditor shall audit each institution of higher education's employment information directory for compliance with this section and any other relevant provisions of law at least once every three years.  This subsection does not affect the state auditor's authority to conduct an audit in accordance with Chapter 321, Government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training sessions database must include a playable video recording or written transcript record of every training session the institution conducts for students, faculty, or staff. The recording or transcript must include the entirety of the training session, including any question and answer session, but may not include any personally identifying information of a student, faculty member, or staff member who participated in the training session but was not involved with the planning, coordination, or presentation of the training session.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governing board of each institution of higher education shall designate an administrator to be responsible for ensuring compliance with this section.  The administrator may assign duties under this section to one or more administrative employees.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Texas Higher Education Coordinating Board may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each public institution of higher education shall comply with Section 51.9747,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