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88R16098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excess unappropriated money in and reimbursement of appropriated money from the Texas Racing Commission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2023.053(e),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Any amount of general revenue appropriated for the administration and enforcement of this subtitle in excess of the cumulative amount deposited in the Texas Racing Commission fund shall be reimbursed from the Texas Racing Commission fund [</w:t>
      </w:r>
      <w:r>
        <w:rPr>
          <w:strike/>
        </w:rPr>
        <w:t xml:space="preserve">not later than the first anniversary of the date the general revenue funds are appropriated, with 6.75 percent interest.  All payments made under this subsection are first attributable to interest accumulated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2023.053(c), Occupations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