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5130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appropriated money for nonprofit organizations advocating for governmental adoption of a policy of managed retreat.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2113, Government Code, is amended by adding Subchapter F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RESTRICTIONS REGARDING CERTAIN POLICIES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2113.401.</w:t>
      </w:r>
      <w:r>
        <w:rPr>
          <w:u w:val="single"/>
        </w:rPr>
        <w:t xml:space="preserve"> </w:t>
      </w:r>
      <w:r>
        <w:rPr>
          <w:u w:val="single"/>
        </w:rPr>
        <w:t xml:space="preserve"> </w:t>
      </w:r>
      <w:r>
        <w:rPr>
          <w:u w:val="single"/>
        </w:rPr>
        <w:t xml:space="preserve">MANAGED RETREAT.  (a)  In this section, "managed retreat" means the mandated removal of population, buildings, infrastructure, or other assets from lands adjacent to the Gulf of Mexico through government action and forced resettlement.  The term does not include the renourishment of beaches or engaging in property buyouts under Chapter 61, Natural Resources Code, following natural disasters.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political subdivision of this state shall not adopt or enforce a policy of managed retreat as defined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not use appropriated money to contract with, award a grant to, or otherwise provide financial support to a nonprofit organization that has made a public statement calling for or has otherwise advocated for the adoption by this state or a political subdivision of this state of a policy of managed retreat.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