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88R13888 MPF-F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Montgomery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5131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randomized audits of elections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127.351, Election Code, is amended by amending Subsections (a) and (d)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Immediately after the uniform election date in November of an even-numbered year, the secretary of state shall conduct an audit of the elections held </w:t>
      </w:r>
      <w:r>
        <w:rPr>
          <w:u w:val="single"/>
        </w:rPr>
        <w:t xml:space="preserve">on the uniform election date</w:t>
      </w:r>
      <w:r>
        <w:t xml:space="preserve"> in four counties during the previous two years.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rPr>
          <w:u w:val="single"/>
        </w:rPr>
        <w:t xml:space="preserve">If the secretary of state completes the audit of a county under Subsection (b)(1) before the end of a two-year period, the secretary may randomly select another county with a total population of less than 300,000 to be audited.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 xml:space="preserve">
        <w:t> </w:t>
      </w:r>
      <w:r xml:space="preserve">
        <w:t> </w:t>
      </w:r>
      <w:r>
        <w:t xml:space="preserve">The secretary of state 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5131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