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w:t xml:space="preserve"> (Senate Sponsor</w:t>
      </w:r>
      <w:r xml:space="preserve">
        <w:t> </w:t>
      </w:r>
      <w:r>
        <w:t xml:space="preserve">-</w:t>
      </w:r>
      <w:r xml:space="preserve">
        <w:t> </w:t>
      </w:r>
      <w:r>
        <w:t xml:space="preserve">King)</w:t>
      </w:r>
      <w:r xml:space="preserve">
        <w:tab wTab="150" tlc="none" cTlc="0"/>
      </w:r>
      <w:r>
        <w:t xml:space="preserve">H.B.</w:t>
      </w:r>
      <w:r xml:space="preserve">
        <w:t> </w:t>
      </w:r>
      <w:r>
        <w:t xml:space="preserve">No.</w:t>
      </w:r>
      <w:r xml:space="preserve">
        <w:t> </w:t>
      </w:r>
      <w:r>
        <w:t xml:space="preserve">5135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9,</w:t>
      </w:r>
      <w:r xml:space="preserve">
        <w:t> </w:t>
      </w:r>
      <w:r>
        <w:t xml:space="preserve">2023, read first time and referred to Committee on Transportation;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issuance of K9s4KIDs specialty license plates.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504, Transportation Code, is amended by adding Section 504.6661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504.6661.</w:t>
      </w:r>
      <w:r>
        <w:rPr>
          <w:u w:val="single"/>
        </w:rPr>
        <w:t xml:space="preserve"> </w:t>
      </w:r>
      <w:r>
        <w:rPr>
          <w:u w:val="single"/>
        </w:rPr>
        <w:t xml:space="preserve"> </w:t>
      </w:r>
      <w:r>
        <w:rPr>
          <w:u w:val="single"/>
        </w:rPr>
        <w:t xml:space="preserve">K9S4KIDS LICENSE PLATES.  (a) </w:t>
      </w:r>
      <w:r>
        <w:rPr>
          <w:u w:val="single"/>
        </w:rPr>
        <w:t xml:space="preserve"> </w:t>
      </w:r>
      <w:r>
        <w:rPr>
          <w:u w:val="single"/>
        </w:rPr>
        <w:t xml:space="preserve">The department shall issue K9s4KIDs specialty license plates. </w:t>
      </w:r>
      <w:r>
        <w:rPr>
          <w:u w:val="single"/>
        </w:rPr>
        <w:t xml:space="preserve"> </w:t>
      </w:r>
      <w:r>
        <w:rPr>
          <w:u w:val="single"/>
        </w:rPr>
        <w:t xml:space="preserve">The department shall design the license plates in consultation with K9s4KIDs.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deduction of the department's administrative costs, the remainder of the fee for issuance of the license plates shall be deposited to the credit of the general revenue fund to be used only by the office of the governor in making grants to nonprofit organizations for the purpose of funding the purchase of police dogs by a public or private primary or secondary school or by an institution of higher education or private or independent institution of higher education.</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