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88R14819 AJZ-D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Kacal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5142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issuance of specially marked driver's licenses and personal identification certificates to veterans.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521.102, Transportation Code, is amended by adding Subsection (b-2)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purposes of Subsection (b)(2), the department must accept a veteran identification card issued by the United States Department of Veterans Affairs as sufficient proof of the veteran's military service and honorable discharge.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521.1235, Transportation Code, is amended by adding Subsection (b-2)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purposes of Subsection (b)(2), the department must accept a veteran identification card issued by the United States Department of Veterans Affairs as sufficient proof of the veteran's military service and honorable discharge.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5142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