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5142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Transportation;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specially marked driver's licenses and personal identification certificates to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521.102,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521.1235,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